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cs="宋体"/>
          <w:b/>
          <w:i/>
          <w:color w:val="auto"/>
          <w:sz w:val="21"/>
          <w:szCs w:val="21"/>
          <w:highlight w:val="none"/>
        </w:rPr>
      </w:pPr>
      <w:r/>
      <w:bookmarkStart w:id="42" w:name="_GoBack"/>
      <w:r/>
      <w:bookmarkEnd w:id="42"/>
      <w:r>
        <w:rPr>
          <w:rFonts w:hint="eastAsia" w:ascii="宋体" w:hAnsi="宋体" w:eastAsia="宋体" w:cs="宋体"/>
          <w:b/>
          <w:i/>
          <w:color w:val="auto"/>
          <w:sz w:val="21"/>
          <w:szCs w:val="21"/>
          <w:highlight w:val="none"/>
        </w:rPr>
        <w:t xml:space="preserve"> </w:t>
      </w:r>
      <w:r/>
    </w:p>
    <w:p>
      <w:pPr>
        <w:rPr>
          <w:rFonts w:ascii="宋体" w:hAnsi="宋体" w:eastAsia="宋体" w:cs="宋体"/>
          <w:b/>
          <w:color w:val="auto"/>
          <w:sz w:val="72"/>
          <w:highlight w:val="none"/>
        </w:rPr>
      </w:pPr>
      <w:r>
        <w:rPr>
          <w:rFonts w:ascii="宋体" w:hAnsi="宋体" w:eastAsia="宋体" w:cs="宋体"/>
          <w:b/>
          <w:color w:val="auto"/>
          <w:sz w:val="72"/>
          <w:highlight w:val="none"/>
        </w:rPr>
      </w:r>
      <w:r/>
    </w:p>
    <w:p>
      <w:pPr>
        <w:jc w:val="center"/>
        <w:rPr>
          <w:rFonts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苏 州 市 政 府 采 购</w:t>
      </w:r>
      <w:r/>
    </w:p>
    <w:p>
      <w:pPr>
        <w:jc w:val="center"/>
        <w:rPr>
          <w:rFonts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招 标 文 件</w:t>
      </w:r>
      <w:r/>
    </w:p>
    <w:p>
      <w:pPr>
        <w:ind w:left="-424"/>
        <w:rPr>
          <w:rFonts w:hint="default" w:ascii="宋体" w:hAnsi="宋体" w:eastAsia="宋体" w:cs="宋体"/>
          <w:b/>
          <w:color w:val="auto"/>
          <w:sz w:val="72"/>
          <w:highlight w:val="none"/>
          <w:lang w:val="en-US" w:eastAsia="zh-CN"/>
        </w:rPr>
      </w:pPr>
      <w:r>
        <w:rPr>
          <w:rFonts w:hint="default" w:ascii="宋体" w:hAnsi="宋体" w:eastAsia="宋体" w:cs="宋体"/>
          <w:b/>
          <w:color w:val="auto"/>
          <w:sz w:val="72"/>
          <w:highlight w:val="none"/>
          <w:lang w:val="en-US" w:eastAsia="zh-CN"/>
        </w:rPr>
      </w:r>
      <w:r/>
    </w:p>
    <w:p>
      <w:pPr>
        <w:ind w:left="-140" w:firstLine="137"/>
        <w:tabs>
          <w:tab w:val="left" w:pos="6760" w:leader="none"/>
        </w:tabs>
        <w:rPr>
          <w:rFonts w:ascii="宋体" w:hAnsi="宋体" w:eastAsia="宋体" w:cs="宋体"/>
          <w:b/>
          <w:color w:val="auto"/>
          <w:sz w:val="72"/>
          <w:highlight w:val="none"/>
        </w:rPr>
      </w:pPr>
      <w:r>
        <w:rPr>
          <w:rFonts w:ascii="宋体" w:hAnsi="宋体" w:eastAsia="宋体" w:cs="宋体"/>
          <w:b/>
          <w:color w:val="auto"/>
          <w:sz w:val="72"/>
          <w:highlight w:val="none"/>
        </w:rPr>
      </w:r>
      <w:r/>
    </w:p>
    <w:p>
      <w:pPr>
        <w:ind w:firstLine="1405"/>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招标编号：</w:t>
      </w:r>
      <w:r>
        <w:rPr>
          <w:rFonts w:hint="eastAsia" w:ascii="宋体" w:hAnsi="宋体" w:eastAsia="宋体" w:cs="宋体"/>
          <w:b/>
          <w:bCs/>
          <w:color w:val="auto"/>
          <w:sz w:val="28"/>
          <w:szCs w:val="28"/>
          <w:highlight w:val="none"/>
          <w:lang w:eastAsia="zh-CN"/>
        </w:rPr>
        <w:t xml:space="preserve">JSZC-320500-HWZX-G2025-0768</w:t>
      </w:r>
      <w:r/>
    </w:p>
    <w:p>
      <w:pPr>
        <w:ind w:left="2515" w:hanging="1124"/>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招标人：</w:t>
      </w:r>
      <w:r>
        <w:rPr>
          <w:rFonts w:hint="eastAsia" w:ascii="宋体" w:hAnsi="宋体" w:eastAsia="宋体" w:cs="宋体"/>
          <w:b/>
          <w:bCs/>
          <w:color w:val="auto"/>
          <w:sz w:val="28"/>
          <w:szCs w:val="28"/>
          <w:highlight w:val="none"/>
          <w:lang w:eastAsia="zh-CN"/>
        </w:rPr>
        <w:t xml:space="preserve">苏州高等职业技术学校</w:t>
      </w:r>
      <w:r/>
    </w:p>
    <w:p>
      <w:pPr>
        <w:ind w:firstLine="1405"/>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招标代理机构：</w:t>
      </w:r>
      <w:r>
        <w:rPr>
          <w:rFonts w:hint="eastAsia" w:ascii="宋体" w:hAnsi="宋体" w:eastAsia="宋体" w:cs="宋体"/>
          <w:b/>
          <w:bCs/>
          <w:color w:val="auto"/>
          <w:sz w:val="28"/>
          <w:szCs w:val="28"/>
          <w:highlight w:val="none"/>
          <w:lang w:eastAsia="zh-CN"/>
        </w:rPr>
        <w:t xml:space="preserve">江苏海外集团国际工程咨询有限公司</w:t>
      </w:r>
      <w:r/>
    </w:p>
    <w:p>
      <w:pPr>
        <w:ind w:left="2796" w:hanging="1405"/>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项目名称：</w:t>
      </w:r>
      <w:r>
        <w:rPr>
          <w:rFonts w:hint="eastAsia" w:ascii="宋体" w:hAnsi="宋体" w:eastAsia="宋体" w:cs="宋体"/>
          <w:b/>
          <w:bCs/>
          <w:color w:val="auto"/>
          <w:sz w:val="28"/>
          <w:szCs w:val="28"/>
          <w:highlight w:val="none"/>
          <w:lang w:eastAsia="zh-CN"/>
        </w:rPr>
        <w:t xml:space="preserve">苏州高等职业技术学校房屋消防评估服务</w:t>
      </w:r>
      <w:r/>
    </w:p>
    <w:p>
      <w:pPr>
        <w:ind w:firstLine="1405"/>
        <w:spacing w:line="360" w:lineRule="auto"/>
        <w:rPr>
          <w:rFonts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 xml:space="preserve">采购类别：服务类</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968"/>
        <w:rPr>
          <w:rFonts w:hAnsi="宋体" w:cs="宋体"/>
          <w:color w:val="auto"/>
          <w:highlight w:val="none"/>
        </w:rPr>
      </w:pPr>
      <w:r>
        <w:rPr>
          <w:rFonts w:hAnsi="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968"/>
        <w:rPr>
          <w:rFonts w:hAnsi="宋体" w:cs="宋体"/>
          <w:color w:val="auto"/>
          <w:highlight w:val="none"/>
        </w:rPr>
      </w:pPr>
      <w:r>
        <w:rPr>
          <w:rFonts w:hAnsi="宋体" w:cs="宋体"/>
          <w:color w:val="auto"/>
          <w:highlight w:val="none"/>
        </w:rPr>
      </w:r>
      <w:r/>
    </w:p>
    <w:p>
      <w:pPr>
        <w:jc w:val="center"/>
        <w:rPr>
          <w:rFonts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 xml:space="preserve">二〇二五年</w:t>
      </w:r>
      <w:r>
        <w:rPr>
          <w:rFonts w:hint="eastAsia" w:ascii="宋体" w:hAnsi="宋体" w:eastAsia="宋体" w:cs="宋体"/>
          <w:b/>
          <w:bCs/>
          <w:color w:val="auto"/>
          <w:sz w:val="28"/>
          <w:szCs w:val="28"/>
          <w:highlight w:val="none"/>
          <w:lang w:val="en-US" w:eastAsia="zh-CN"/>
        </w:rPr>
        <w:t xml:space="preserve">十</w:t>
      </w:r>
      <w:r>
        <w:rPr>
          <w:rFonts w:hint="eastAsia" w:ascii="宋体" w:hAnsi="宋体" w:eastAsia="宋体" w:cs="宋体"/>
          <w:b/>
          <w:bCs/>
          <w:color w:val="auto"/>
          <w:sz w:val="28"/>
          <w:szCs w:val="28"/>
          <w:highlight w:val="none"/>
        </w:rPr>
        <w:t xml:space="preserve">月</w:t>
      </w:r>
      <w:r/>
    </w:p>
    <w:p>
      <w:pPr>
        <w:tabs>
          <w:tab w:val="left" w:pos="7730" w:leader="none"/>
        </w:tabs>
        <w:rPr>
          <w:rFonts w:ascii="宋体" w:hAnsi="宋体" w:eastAsia="宋体" w:cs="宋体"/>
          <w:color w:val="auto"/>
          <w:sz w:val="36"/>
          <w:szCs w:val="36"/>
          <w:highlight w:val="none"/>
        </w:rPr>
        <w:sectPr>
          <w:headerReference w:type="default" r:id="rId9"/>
          <w:headerReference w:type="first" r:id="rId10"/>
          <w:footerReference w:type="even" r:id="rId13"/>
          <w:footerReference w:type="first" r:id="rId14"/>
          <w:footnotePr/>
          <w:endnotePr/>
          <w:type w:val="nextPage"/>
          <w:pgSz w:w="11906" w:h="16838" w:orient="portrait"/>
          <w:pgMar w:top="1440" w:right="1558" w:bottom="1440" w:left="1276" w:header="851" w:footer="992" w:gutter="0"/>
          <w:pgNumType w:start="1"/>
          <w:cols w:num="1" w:sep="0" w:space="720" w:equalWidth="1"/>
          <w:docGrid w:linePitch="360"/>
        </w:sectPr>
      </w:pPr>
      <w:r>
        <w:rPr>
          <w:rFonts w:ascii="宋体" w:hAnsi="宋体" w:eastAsia="宋体" w:cs="宋体"/>
          <w:color w:val="auto"/>
          <w:sz w:val="36"/>
          <w:szCs w:val="36"/>
          <w:highlight w:val="none"/>
        </w:rPr>
      </w:r>
      <w:r/>
    </w:p>
    <w:p>
      <w:pPr>
        <w:ind w:firstLine="0"/>
        <w:jc w:val="center"/>
        <w:tabs>
          <w:tab w:val="left" w:pos="7730" w:leader="none"/>
        </w:tabs>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前附表</w:t>
      </w:r>
      <w:r/>
    </w:p>
    <w:tbl>
      <w:tblPr>
        <w:tblStyle w:val="960"/>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18"/>
        <w:gridCol w:w="7577"/>
      </w:tblGrid>
      <w:tr>
        <w:trPr>
          <w:jc w:val="center"/>
          <w:trHeight w:val="472"/>
        </w:trPr>
        <w:tc>
          <w:tcPr>
            <w:tcW w:w="746"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1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7577"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jc w:val="center"/>
          <w:trHeight w:val="90"/>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项目名称</w:t>
            </w:r>
            <w:r/>
          </w:p>
        </w:tc>
        <w:tc>
          <w:tcPr>
            <w:tcW w:w="7577" w:type="dxa"/>
            <w:vAlign w:val="center"/>
            <w:textDirection w:val="lrTb"/>
            <w:noWrap w:val="false"/>
          </w:tcPr>
          <w:p>
            <w:pPr>
              <w:spacing w:line="360" w:lineRule="auto"/>
              <w:rPr>
                <w:rFonts w:hint="eastAsia" w:ascii="宋体" w:hAnsi="宋体" w:eastAsia="宋体" w:cs="宋体"/>
                <w:color w:val="auto"/>
                <w:highlight w:val="none"/>
                <w:lang w:eastAsia="zh-CN"/>
              </w:rPr>
            </w:pPr>
            <w:r>
              <w:rPr>
                <w:rFonts w:hint="eastAsia" w:ascii="宋体" w:hAnsi="宋体" w:eastAsia="宋体" w:cs="宋体"/>
                <w:bCs/>
                <w:color w:val="auto"/>
                <w:sz w:val="24"/>
                <w:szCs w:val="24"/>
                <w:highlight w:val="none"/>
                <w:lang w:eastAsia="zh-CN"/>
              </w:rPr>
              <w:t xml:space="preserve">苏州高等职业技术学校房屋消防评估服务</w:t>
            </w:r>
            <w:r/>
          </w:p>
        </w:tc>
      </w:tr>
      <w:tr>
        <w:trPr>
          <w:jc w:val="center"/>
          <w:trHeight w:val="744"/>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服务期限</w:t>
            </w:r>
            <w:r/>
          </w:p>
        </w:tc>
        <w:tc>
          <w:tcPr>
            <w:tcW w:w="757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20日历天</w:t>
            </w:r>
            <w:r>
              <w:rPr>
                <w:rFonts w:hint="eastAsia" w:ascii="宋体" w:hAnsi="宋体" w:eastAsia="宋体" w:cs="宋体"/>
                <w:bCs/>
                <w:color w:val="auto"/>
                <w:sz w:val="24"/>
                <w:szCs w:val="24"/>
                <w:highlight w:val="none"/>
              </w:rPr>
              <w:t xml:space="preserve">（具体起始时间以招标人通知为准）</w:t>
            </w:r>
            <w:r/>
          </w:p>
        </w:tc>
      </w:tr>
      <w:tr>
        <w:trPr>
          <w:jc w:val="center"/>
          <w:trHeight w:val="405"/>
        </w:trPr>
        <w:tc>
          <w:tcPr>
            <w:tcW w:w="746" w:type="dxa"/>
            <w:vAlign w:val="center"/>
            <w:vMerge w:val="restart"/>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采购预算</w:t>
            </w:r>
            <w:r/>
          </w:p>
        </w:tc>
        <w:tc>
          <w:tcPr>
            <w:tcW w:w="7577" w:type="dxa"/>
            <w:vAlign w:val="center"/>
            <w:textDirection w:val="lrTb"/>
            <w:noWrap w:val="false"/>
          </w:tcPr>
          <w:p>
            <w:pPr>
              <w:spacing w:line="360" w:lineRule="auto"/>
              <w:rPr>
                <w:rFonts w:hint="eastAsia" w:ascii="宋体" w:hAnsi="宋体" w:eastAsia="宋体" w:cs="宋体"/>
                <w:color w:val="auto"/>
                <w:highlight w:val="none"/>
                <w:lang w:eastAsia="zh-CN"/>
              </w:rPr>
            </w:pPr>
            <w:r>
              <w:rPr>
                <w:rFonts w:hint="eastAsia" w:ascii="宋体" w:hAnsi="宋体" w:eastAsia="宋体" w:cs="宋体"/>
                <w:bCs/>
                <w:color w:val="auto"/>
                <w:sz w:val="24"/>
                <w:szCs w:val="24"/>
                <w:highlight w:val="none"/>
                <w:lang w:eastAsia="zh-CN"/>
              </w:rPr>
              <w:t xml:space="preserve">679998.00元</w:t>
            </w:r>
            <w:r/>
          </w:p>
        </w:tc>
      </w:tr>
      <w:tr>
        <w:trPr>
          <w:jc w:val="center"/>
          <w:trHeight w:val="90"/>
        </w:trPr>
        <w:tc>
          <w:tcPr>
            <w:tcW w:w="746" w:type="dxa"/>
            <w:vAlign w:val="center"/>
            <w:vMerge w:val="continue"/>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p>
        </w:tc>
        <w:tc>
          <w:tcPr>
            <w:tcW w:w="7577" w:type="dxa"/>
            <w:vAlign w:val="center"/>
            <w:textDirection w:val="lrTb"/>
            <w:noWrap w:val="false"/>
          </w:tcPr>
          <w:p>
            <w:pPr>
              <w:spacing w:line="360" w:lineRule="auto"/>
              <w:rPr>
                <w:rFonts w:hint="default" w:ascii="宋体" w:hAnsi="宋体" w:eastAsia="宋体" w:cs="宋体"/>
                <w:color w:val="auto"/>
                <w:highlight w:val="none"/>
                <w:lang w:val="en-US" w:eastAsia="zh-CN"/>
              </w:rPr>
            </w:pPr>
            <w:r>
              <w:rPr>
                <w:rFonts w:hint="eastAsia" w:ascii="宋体" w:hAnsi="宋体" w:eastAsia="宋体" w:cs="宋体"/>
                <w:bCs/>
                <w:color w:val="auto"/>
                <w:sz w:val="24"/>
                <w:szCs w:val="24"/>
                <w:highlight w:val="none"/>
                <w:lang w:val="en-US" w:eastAsia="zh-CN"/>
              </w:rPr>
              <w:t xml:space="preserve">总价限价：679998.00元；单价限价：6元/平方米</w:t>
            </w:r>
            <w:r/>
          </w:p>
        </w:tc>
      </w:tr>
      <w:tr>
        <w:trPr>
          <w:jc w:val="center"/>
          <w:trHeight w:val="827"/>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资格条件</w:t>
            </w:r>
            <w:r/>
          </w:p>
        </w:tc>
        <w:tc>
          <w:tcPr>
            <w:tcW w:w="7577" w:type="dxa"/>
            <w:vAlign w:val="center"/>
            <w:textDirection w:val="lrTb"/>
            <w:noWrap w:val="false"/>
          </w:tcPr>
          <w:p>
            <w:pPr>
              <w:jc w:val="left"/>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lang w:val="en-US" w:eastAsia="zh-CN"/>
              </w:rPr>
              <w:t xml:space="preserve">详见招标公告</w:t>
            </w:r>
            <w:r/>
          </w:p>
        </w:tc>
      </w:tr>
      <w:tr>
        <w:trPr>
          <w:jc w:val="center"/>
          <w:trHeight w:val="796"/>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p>
        </w:tc>
        <w:tc>
          <w:tcPr>
            <w:tcW w:w="757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w:t>
            </w:r>
            <w:r/>
          </w:p>
        </w:tc>
      </w:tr>
      <w:tr>
        <w:trPr>
          <w:jc w:val="center"/>
          <w:trHeight w:val="501"/>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5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联系人：刘老师</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联系电话：0512-68246681</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如需踏勘，应提前一天联系踏勘联系人，以便办理入校手续。由于未踏勘现场导致的报价失误或对</w:t>
            </w:r>
            <w:r>
              <w:rPr>
                <w:rFonts w:hint="eastAsia" w:ascii="宋体" w:hAnsi="宋体" w:eastAsia="宋体" w:cs="宋体"/>
                <w:color w:val="auto"/>
                <w:sz w:val="24"/>
                <w:szCs w:val="24"/>
                <w:highlight w:val="none"/>
                <w:lang w:val="en-US" w:eastAsia="zh-CN"/>
              </w:rPr>
              <w:t xml:space="preserve">项目需求</w:t>
            </w:r>
            <w:r>
              <w:rPr>
                <w:rFonts w:hint="eastAsia" w:ascii="宋体" w:hAnsi="宋体" w:eastAsia="宋体" w:cs="宋体"/>
                <w:color w:val="auto"/>
                <w:sz w:val="24"/>
                <w:szCs w:val="24"/>
                <w:highlight w:val="none"/>
              </w:rPr>
              <w:t xml:space="preserve">产生的歧义，其后果</w:t>
            </w:r>
            <w:r>
              <w:rPr>
                <w:rFonts w:hint="eastAsia" w:ascii="宋体" w:hAnsi="宋体" w:eastAsia="宋体" w:cs="宋体"/>
                <w:color w:val="auto"/>
                <w:sz w:val="24"/>
                <w:szCs w:val="24"/>
                <w:highlight w:val="none"/>
                <w:lang w:val="en-US" w:eastAsia="zh-CN"/>
              </w:rPr>
              <w:t xml:space="preserve">由投标人</w:t>
            </w:r>
            <w:r>
              <w:rPr>
                <w:rFonts w:hint="eastAsia" w:ascii="宋体" w:hAnsi="宋体" w:eastAsia="宋体" w:cs="宋体"/>
                <w:color w:val="auto"/>
                <w:sz w:val="24"/>
                <w:szCs w:val="24"/>
                <w:highlight w:val="none"/>
              </w:rPr>
              <w:t xml:space="preserve">自行承担。</w:t>
            </w:r>
            <w:r/>
          </w:p>
        </w:tc>
      </w:tr>
      <w:tr>
        <w:trPr>
          <w:jc w:val="center"/>
          <w:trHeight w:val="702"/>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投标答疑会</w:t>
            </w:r>
            <w:r/>
          </w:p>
        </w:tc>
        <w:tc>
          <w:tcPr>
            <w:tcW w:w="7577"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不召开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投标人如有疑问需要澄清，可通过公告中的联系方式及时提出，招标人或招标代理机构将予以解答，但答复内容不得涉及商业秘密</w:t>
            </w:r>
            <w:r/>
          </w:p>
        </w:tc>
      </w:tr>
      <w:tr>
        <w:trPr>
          <w:jc w:val="center"/>
          <w:trHeight w:val="415"/>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41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份数</w:t>
            </w:r>
            <w:r/>
          </w:p>
        </w:tc>
        <w:tc>
          <w:tcPr>
            <w:tcW w:w="757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中标单位中标后，提供纸质投标文件，送至招标代理机构</w:t>
            </w:r>
            <w:r/>
          </w:p>
        </w:tc>
      </w:tr>
      <w:tr>
        <w:trPr>
          <w:jc w:val="center"/>
          <w:trHeight w:val="420"/>
        </w:trPr>
        <w:tc>
          <w:tcPr>
            <w:shd w:val="clear" w:color="auto" w:fill="auto"/>
            <w:tcW w:w="746" w:type="dxa"/>
            <w:vAlign w:val="center"/>
            <w:textDirection w:val="lrTb"/>
            <w:noWrap w:val="false"/>
          </w:tcPr>
          <w:p>
            <w:pPr>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9</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投标货币</w:t>
            </w:r>
            <w:r/>
          </w:p>
        </w:tc>
        <w:tc>
          <w:tcPr>
            <w:tcW w:w="757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jc w:val="center"/>
          <w:trHeight w:val="712"/>
        </w:trPr>
        <w:tc>
          <w:tcPr>
            <w:shd w:val="clear" w:color="auto" w:fill="auto"/>
            <w:tcW w:w="746" w:type="dxa"/>
            <w:vAlign w:val="center"/>
            <w:textDirection w:val="lrTb"/>
            <w:noWrap w:val="false"/>
          </w:tcPr>
          <w:p>
            <w:pPr>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10</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757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不提交，招标文件内关于投标保证金的相关规定均不适用</w:t>
            </w:r>
            <w:r/>
          </w:p>
        </w:tc>
      </w:tr>
      <w:tr>
        <w:trPr>
          <w:jc w:val="center"/>
          <w:trHeight w:val="429"/>
        </w:trPr>
        <w:tc>
          <w:tcPr>
            <w:shd w:val="clear" w:color="auto" w:fill="auto"/>
            <w:tcW w:w="746" w:type="dxa"/>
            <w:vAlign w:val="center"/>
            <w:textDirection w:val="lrTb"/>
            <w:noWrap w:val="false"/>
          </w:tcPr>
          <w:p>
            <w:pPr>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11</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投标文件有效期</w:t>
            </w:r>
            <w:r/>
          </w:p>
        </w:tc>
        <w:tc>
          <w:tcPr>
            <w:tcW w:w="757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90</w:t>
            </w:r>
            <w:r>
              <w:rPr>
                <w:rFonts w:hint="eastAsia" w:ascii="宋体" w:hAnsi="宋体" w:eastAsia="宋体" w:cs="宋体"/>
                <w:color w:val="auto"/>
                <w:sz w:val="24"/>
                <w:szCs w:val="24"/>
                <w:highlight w:val="none"/>
              </w:rPr>
              <w:t xml:space="preserve">日历天（从投标截止之日算起）</w:t>
            </w:r>
            <w:r/>
          </w:p>
        </w:tc>
      </w:tr>
      <w:tr>
        <w:trPr>
          <w:jc w:val="center"/>
          <w:trHeight w:val="742"/>
        </w:trPr>
        <w:tc>
          <w:tcPr>
            <w:shd w:val="clear" w:color="auto" w:fill="auto"/>
            <w:tcW w:w="746" w:type="dxa"/>
            <w:vAlign w:val="center"/>
            <w:vMerge w:val="restart"/>
            <w:textDirection w:val="lrTb"/>
            <w:noWrap w:val="false"/>
          </w:tcPr>
          <w:p>
            <w:pPr>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12</w:t>
            </w:r>
            <w:r/>
          </w:p>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w:t>
            </w:r>
            <w:r/>
          </w:p>
        </w:tc>
        <w:tc>
          <w:tcPr>
            <w:tcW w:w="757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时间：2025年</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时30分</w:t>
            </w:r>
            <w:r/>
          </w:p>
        </w:tc>
      </w:tr>
      <w:tr>
        <w:trPr>
          <w:jc w:val="center"/>
          <w:trHeight w:val="315"/>
        </w:trPr>
        <w:tc>
          <w:tcPr>
            <w:shd w:val="clear" w:color="auto" w:fill="auto"/>
            <w:tcW w:w="746" w:type="dxa"/>
            <w:vAlign w:val="center"/>
            <w:vMerge w:val="continue"/>
            <w:textDirection w:val="lrTb"/>
            <w:noWrap w:val="false"/>
          </w:tcPr>
          <w:p>
            <w:pPr>
              <w:jc w:val="center"/>
              <w:spacing w:line="360" w:lineRule="auto"/>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投标地点</w:t>
            </w:r>
            <w:r/>
          </w:p>
        </w:tc>
        <w:tc>
          <w:tcPr>
            <w:tcW w:w="757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rPr>
              <w:t xml:space="preserve">系统（网址：http://jszfcg.jsczt.cn/）</w:t>
            </w:r>
            <w:r/>
          </w:p>
        </w:tc>
      </w:tr>
      <w:tr>
        <w:trPr>
          <w:jc w:val="center"/>
          <w:trHeight w:val="57"/>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41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w:t>
            </w:r>
            <w:r/>
          </w:p>
        </w:tc>
        <w:tc>
          <w:tcPr>
            <w:tcW w:w="757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时间：2025年</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时30分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rPr>
              <w:t xml:space="preserve">系统（网址：http://jszfcg.jsczt.cn/）</w:t>
            </w:r>
            <w:r/>
          </w:p>
        </w:tc>
      </w:tr>
      <w:tr>
        <w:trPr>
          <w:jc w:val="center"/>
          <w:trHeight w:val="90"/>
        </w:trPr>
        <w:tc>
          <w:tcPr>
            <w:shd w:val="clear" w:color="auto" w:fill="auto"/>
            <w:tcW w:w="746" w:type="dxa"/>
            <w:vAlign w:val="center"/>
            <w:textDirection w:val="lrTb"/>
            <w:noWrap w:val="false"/>
          </w:tcPr>
          <w:p>
            <w:pPr>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14</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757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w:t>
            </w:r>
            <w:r/>
          </w:p>
        </w:tc>
      </w:tr>
      <w:tr>
        <w:trPr>
          <w:jc w:val="center"/>
          <w:trHeight w:val="844"/>
        </w:trPr>
        <w:tc>
          <w:tcPr>
            <w:shd w:val="clear" w:color="auto" w:fill="auto"/>
            <w:tcW w:w="746" w:type="dxa"/>
            <w:vAlign w:val="center"/>
            <w:textDirection w:val="lrTb"/>
            <w:noWrap w:val="false"/>
          </w:tcPr>
          <w:p>
            <w:pPr>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15</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757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招标人根据评标委员会推荐的中标候选供应商顺序确定中标单位。</w:t>
            </w:r>
            <w:r/>
          </w:p>
        </w:tc>
      </w:tr>
      <w:tr>
        <w:trPr>
          <w:jc w:val="center"/>
          <w:trHeight w:val="657"/>
        </w:trPr>
        <w:tc>
          <w:tcPr>
            <w:shd w:val="clear" w:color="auto" w:fill="auto"/>
            <w:tcW w:w="746" w:type="dxa"/>
            <w:vAlign w:val="center"/>
            <w:textDirection w:val="lrTb"/>
            <w:noWrap w:val="false"/>
          </w:tcPr>
          <w:p>
            <w:pPr>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16</w:t>
            </w:r>
            <w:r/>
          </w:p>
        </w:tc>
        <w:tc>
          <w:tcPr>
            <w:tcW w:w="1418" w:type="dxa"/>
            <w:vAlign w:val="center"/>
            <w:textDirection w:val="lrTb"/>
            <w:noWrap w:val="false"/>
          </w:tcPr>
          <w:p>
            <w:pPr>
              <w:ind w:left="0" w:right="0" w:firstLine="0"/>
              <w:jc w:val="left"/>
              <w:keepLines w:val="0"/>
              <w:keepNext w:val="0"/>
              <w:pageBreakBefore w:val="0"/>
              <w:spacing w:before="0" w:after="0"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w:t>
            </w:r>
            <w:r/>
          </w:p>
        </w:tc>
        <w:tc>
          <w:tcPr>
            <w:tcW w:w="7577" w:type="dxa"/>
            <w:vAlign w:val="center"/>
            <w:textDirection w:val="lrTb"/>
            <w:noWrap w:val="false"/>
          </w:tcPr>
          <w:p>
            <w:pPr>
              <w:ind w:left="0" w:right="0" w:firstLine="0"/>
              <w:jc w:val="both"/>
              <w:keepLines w:val="0"/>
              <w:keepNext w:val="0"/>
              <w:pageBreakBefore w:val="0"/>
              <w:spacing w:before="0" w:after="0" w:line="360" w:lineRule="auto"/>
              <w:widowControl/>
              <w:rPr>
                <w:rFonts w:hint="eastAsia"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ascii="Wingdings" w:hAnsi="Wingdings" w:eastAsia="Wingdings" w:cs="Wingdings"/>
                <w:b/>
                <w:bCs/>
                <w:color w:val="auto"/>
                <w:sz w:val="24"/>
                <w:highlight w:val="none"/>
                <w:lang w:eastAsia="zh-CN"/>
              </w:rPr>
              <w:t xml:space="preserve">þ</w:t>
            </w:r>
            <w:r>
              <w:rPr>
                <w:rFonts w:hint="eastAsia" w:ascii="宋体" w:hAnsi="宋体" w:eastAsia="宋体" w:cs="宋体"/>
                <w:b/>
                <w:bCs/>
                <w:color w:val="auto"/>
                <w:sz w:val="24"/>
                <w:highlight w:val="none"/>
                <w:lang w:eastAsia="zh-CN"/>
              </w:rPr>
              <w:t xml:space="preserve">提交</w:t>
            </w:r>
            <w:r/>
          </w:p>
          <w:p>
            <w:pPr>
              <w:pStyle w:val="957"/>
              <w:keepLines/>
              <w:keepNext/>
              <w:pageBreakBefore w:val="0"/>
              <w:spacing w:before="0" w:after="0"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缴纳</w:t>
            </w:r>
            <w:r>
              <w:rPr>
                <w:rFonts w:hint="eastAsia" w:ascii="宋体" w:hAnsi="宋体" w:eastAsia="宋体" w:cs="宋体"/>
                <w:color w:val="auto"/>
                <w:sz w:val="24"/>
                <w:highlight w:val="none"/>
                <w:lang w:eastAsia="zh-CN"/>
              </w:rPr>
              <w:t xml:space="preserve">形式：银行保函</w:t>
            </w:r>
            <w:r>
              <w:rPr>
                <w:rFonts w:hint="eastAsia" w:ascii="宋体" w:hAnsi="宋体" w:eastAsia="宋体" w:cs="宋体"/>
                <w:color w:val="auto"/>
                <w:sz w:val="24"/>
                <w:highlight w:val="none"/>
                <w:lang w:val="en-US" w:eastAsia="zh-CN"/>
              </w:rPr>
              <w:t xml:space="preserve">或采购人认可的其他形式</w:t>
            </w:r>
            <w:r/>
          </w:p>
          <w:p>
            <w:pPr>
              <w:pStyle w:val="957"/>
              <w:keepLines/>
              <w:keepNext/>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lang w:val="en-US" w:eastAsia="zh-CN"/>
              </w:rPr>
              <w:t xml:space="preserve">缴纳</w:t>
            </w:r>
            <w:r>
              <w:rPr>
                <w:rFonts w:hint="eastAsia" w:ascii="宋体" w:hAnsi="宋体" w:eastAsia="宋体" w:cs="宋体"/>
                <w:color w:val="auto"/>
                <w:sz w:val="24"/>
                <w:highlight w:val="none"/>
                <w:lang w:eastAsia="zh-CN"/>
              </w:rPr>
              <w:t xml:space="preserve">金额：合同金额的</w:t>
            </w:r>
            <w:r>
              <w:rPr>
                <w:rFonts w:hint="eastAsia" w:ascii="宋体" w:hAnsi="宋体" w:eastAsia="宋体" w:cs="宋体"/>
                <w:color w:val="auto"/>
                <w:sz w:val="24"/>
                <w:highlight w:val="none"/>
                <w:lang w:val="en-US" w:eastAsia="zh-CN"/>
              </w:rPr>
              <w:t xml:space="preserve">5%。合同签订前，中标单位需将履约保证金缴纳给采购人。合同履约完成后，中标单位提交评估报告并经采购人确认后，10个工作日内无息退还。</w:t>
            </w:r>
            <w:r/>
          </w:p>
        </w:tc>
      </w:tr>
      <w:tr>
        <w:trPr>
          <w:jc w:val="center"/>
          <w:trHeight w:val="627"/>
        </w:trPr>
        <w:tc>
          <w:tcPr>
            <w:shd w:val="clear" w:color="auto" w:fill="auto"/>
            <w:tcW w:w="746" w:type="dxa"/>
            <w:vAlign w:val="center"/>
            <w:textDirection w:val="lrTb"/>
            <w:noWrap w:val="false"/>
          </w:tcPr>
          <w:p>
            <w:pPr>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17</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w:t>
            </w:r>
            <w:r/>
          </w:p>
        </w:tc>
        <w:tc>
          <w:tcPr>
            <w:tcW w:w="757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中标通知书发出之日起30日内</w:t>
            </w:r>
            <w:r/>
          </w:p>
        </w:tc>
      </w:tr>
      <w:tr>
        <w:trPr>
          <w:jc w:val="center"/>
          <w:trHeight w:val="571"/>
        </w:trPr>
        <w:tc>
          <w:tcPr>
            <w:shd w:val="clear" w:color="auto" w:fill="auto"/>
            <w:tcW w:w="746" w:type="dxa"/>
            <w:vAlign w:val="center"/>
            <w:textDirection w:val="lrTb"/>
            <w:noWrap w:val="false"/>
          </w:tcPr>
          <w:p>
            <w:pPr>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18</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代理服务费</w:t>
            </w:r>
            <w:r/>
          </w:p>
        </w:tc>
        <w:tc>
          <w:tcPr>
            <w:tcW w:w="75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收费标准：按以下方式差额定率累计后收取，领取中标通知书时中标人向采购代理机构一次性付清。</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预算金额100万元以下部分按该部分预算金额的1.5%计算。</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本项目代理费：</w:t>
            </w:r>
            <w:r>
              <w:rPr>
                <w:rFonts w:hint="eastAsia" w:ascii="宋体" w:hAnsi="宋体" w:eastAsia="宋体" w:cs="宋体"/>
                <w:color w:val="auto"/>
                <w:sz w:val="24"/>
                <w:szCs w:val="24"/>
                <w:highlight w:val="none"/>
              </w:rPr>
              <w:t xml:space="preserve">10199.97</w:t>
            </w:r>
            <w:r>
              <w:rPr>
                <w:rFonts w:hint="eastAsia" w:ascii="宋体" w:hAnsi="宋体" w:eastAsia="宋体" w:cs="宋体"/>
                <w:color w:val="auto"/>
                <w:sz w:val="24"/>
                <w:szCs w:val="24"/>
                <w:highlight w:val="none"/>
              </w:rPr>
              <w:t xml:space="preserve">元，投标人在投标时自行考虑。</w:t>
            </w:r>
            <w:r/>
          </w:p>
        </w:tc>
      </w:tr>
      <w:tr>
        <w:trPr>
          <w:jc w:val="center"/>
          <w:trHeight w:val="571"/>
        </w:trPr>
        <w:tc>
          <w:tcPr>
            <w:shd w:val="clear" w:color="auto" w:fill="auto"/>
            <w:tcW w:w="746" w:type="dxa"/>
            <w:vAlign w:val="center"/>
            <w:textDirection w:val="lrTb"/>
            <w:noWrap w:val="false"/>
          </w:tcPr>
          <w:p>
            <w:pPr>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19</w:t>
            </w:r>
            <w:r/>
          </w:p>
        </w:tc>
        <w:tc>
          <w:tcPr>
            <w:tcW w:w="141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监督电话</w:t>
            </w:r>
            <w:r/>
          </w:p>
        </w:tc>
        <w:tc>
          <w:tcPr>
            <w:tcW w:w="757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苏州市政府采购监督电话：0512-68616651</w:t>
            </w:r>
            <w:r/>
          </w:p>
        </w:tc>
      </w:tr>
      <w:tr>
        <w:trPr>
          <w:jc w:val="center"/>
          <w:trHeight w:val="571"/>
        </w:trPr>
        <w:tc>
          <w:tcPr>
            <w:shd w:val="clear" w:color="auto" w:fill="auto"/>
            <w:tcW w:w="74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20</w:t>
            </w:r>
            <w:r/>
          </w:p>
        </w:tc>
        <w:tc>
          <w:tcPr>
            <w:tcW w:w="141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ascii="宋体" w:hAnsi="宋体" w:eastAsia="宋体" w:cs="宋体"/>
                <w:color w:val="auto"/>
                <w:sz w:val="24"/>
                <w:highlight w:val="none"/>
              </w:rPr>
              <w:t xml:space="preserve">特别提醒</w:t>
            </w:r>
            <w:r/>
          </w:p>
        </w:tc>
        <w:tc>
          <w:tcPr>
            <w:tcW w:w="7577" w:type="dxa"/>
            <w:vAlign w:val="center"/>
            <w:textDirection w:val="lrTb"/>
            <w:noWrap w:val="false"/>
          </w:tcPr>
          <w:p>
            <w:pPr>
              <w:ind w:left="0" w:right="0" w:firstLine="0"/>
              <w:jc w:val="both"/>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本项目采用电子网上招投标。</w:t>
            </w:r>
            <w:r/>
          </w:p>
          <w:p>
            <w:pPr>
              <w:ind w:left="0" w:right="0" w:firstLine="0"/>
              <w:jc w:val="both"/>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供应商</w:t>
            </w:r>
            <w:r>
              <w:rPr>
                <w:rFonts w:ascii="宋体" w:hAnsi="宋体" w:eastAsia="宋体" w:cs="宋体"/>
                <w:color w:val="auto"/>
                <w:sz w:val="24"/>
                <w:highlight w:val="none"/>
              </w:rPr>
              <w:t xml:space="preserve">需要通过CA证书，使用政府采购客户端工具制作电子投标文件，并在提交投标文件上传截止时间之前对投标文件进行加密并上传；</w:t>
            </w:r>
            <w:r/>
          </w:p>
          <w:p>
            <w:pPr>
              <w:spacing w:line="360" w:lineRule="auto"/>
              <w:rPr>
                <w:rFonts w:hint="eastAsia" w:ascii="宋体" w:hAnsi="宋体" w:eastAsia="宋体" w:cs="宋体"/>
                <w:color w:val="auto"/>
                <w:sz w:val="24"/>
                <w:szCs w:val="24"/>
                <w:highlight w:val="none"/>
              </w:rPr>
            </w:pPr>
            <w:r>
              <w:rPr>
                <w:rFonts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供应商</w:t>
            </w:r>
            <w:r>
              <w:rPr>
                <w:rFonts w:ascii="宋体" w:hAnsi="宋体" w:eastAsia="宋体" w:cs="宋体"/>
                <w:color w:val="auto"/>
                <w:sz w:val="24"/>
                <w:highlight w:val="none"/>
              </w:rPr>
              <w:t xml:space="preserve">需携带加密文件的CA证书，在项目开启后，开始解密投标文件，请</w:t>
            </w:r>
            <w:r>
              <w:rPr>
                <w:rFonts w:hint="eastAsia" w:ascii="宋体" w:hAnsi="宋体" w:eastAsia="宋体" w:cs="宋体"/>
                <w:color w:val="auto"/>
                <w:sz w:val="24"/>
                <w:highlight w:val="none"/>
                <w:lang w:eastAsia="zh-CN"/>
              </w:rPr>
              <w:t xml:space="preserve">供应商</w:t>
            </w:r>
            <w:r>
              <w:rPr>
                <w:rFonts w:ascii="宋体" w:hAnsi="宋体" w:eastAsia="宋体" w:cs="宋体"/>
                <w:color w:val="auto"/>
                <w:sz w:val="24"/>
                <w:highlight w:val="none"/>
              </w:rPr>
              <w:t xml:space="preserve">预留足够的解密时间。</w:t>
            </w:r>
            <w:r/>
          </w:p>
        </w:tc>
      </w:tr>
    </w:tbl>
    <w:p>
      <w:pPr>
        <w:jc w:val="center"/>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目  录</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82"/>
        <w:tabs>
          <w:tab w:val="right" w:pos="9604" w:leader="dot"/>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TOC  \* MERGEFORMAT </w:instrText>
      </w:r>
      <w:r>
        <w:rPr>
          <w:rFonts w:hint="eastAsia" w:ascii="宋体" w:hAnsi="宋体" w:eastAsia="宋体" w:cs="宋体"/>
          <w:b/>
          <w:color w:val="auto"/>
          <w:sz w:val="28"/>
          <w:szCs w:val="28"/>
          <w:highlight w:val="none"/>
        </w:rPr>
        <w:fldChar w:fldCharType="separate"/>
      </w:r>
      <w:r>
        <w:rPr>
          <w:rFonts w:hint="eastAsia" w:ascii="宋体" w:hAnsi="宋体" w:eastAsia="宋体" w:cs="宋体"/>
          <w:b/>
          <w:color w:val="auto"/>
          <w:sz w:val="28"/>
          <w:szCs w:val="28"/>
          <w:highlight w:val="none"/>
        </w:rPr>
        <w:t xml:space="preserve">第一章 招标公告</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PAGEREF _Toc160701720 \h </w:instrText>
      </w:r>
      <w:r>
        <w:rPr>
          <w:rFonts w:hint="eastAsia" w:ascii="宋体" w:hAnsi="宋体" w:eastAsia="宋体" w:cs="宋体"/>
          <w:b/>
          <w:color w:val="auto"/>
          <w:sz w:val="28"/>
          <w:szCs w:val="28"/>
          <w:highlight w:val="none"/>
        </w:rPr>
        <w:fldChar w:fldCharType="separate"/>
      </w:r>
      <w:r>
        <w:rPr>
          <w:rFonts w:ascii="宋体" w:hAnsi="宋体" w:eastAsia="宋体" w:cs="宋体"/>
          <w:b/>
          <w:color w:val="auto"/>
          <w:sz w:val="28"/>
          <w:szCs w:val="28"/>
          <w:highlight w:val="none"/>
        </w:rPr>
        <w:t xml:space="preserve">4</w:t>
      </w:r>
      <w:r>
        <w:rPr>
          <w:rFonts w:hint="eastAsia" w:ascii="宋体" w:hAnsi="宋体" w:eastAsia="宋体" w:cs="宋体"/>
          <w:b/>
          <w:color w:val="auto"/>
          <w:sz w:val="28"/>
          <w:szCs w:val="28"/>
          <w:highlight w:val="none"/>
        </w:rPr>
        <w:fldChar w:fldCharType="end"/>
      </w:r>
      <w:r/>
    </w:p>
    <w:p>
      <w:pPr>
        <w:pStyle w:val="982"/>
        <w:tabs>
          <w:tab w:val="right" w:pos="9604" w:leader="dot"/>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第二章 投标人须知</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PAGEREF _Toc160701721 \h </w:instrText>
      </w:r>
      <w:r>
        <w:rPr>
          <w:rFonts w:hint="eastAsia" w:ascii="宋体" w:hAnsi="宋体" w:eastAsia="宋体" w:cs="宋体"/>
          <w:b/>
          <w:color w:val="auto"/>
          <w:sz w:val="28"/>
          <w:szCs w:val="28"/>
          <w:highlight w:val="none"/>
        </w:rPr>
        <w:fldChar w:fldCharType="separate"/>
      </w:r>
      <w:r>
        <w:rPr>
          <w:rFonts w:ascii="宋体" w:hAnsi="宋体" w:eastAsia="宋体" w:cs="宋体"/>
          <w:b/>
          <w:color w:val="auto"/>
          <w:sz w:val="28"/>
          <w:szCs w:val="28"/>
          <w:highlight w:val="none"/>
        </w:rPr>
        <w:t xml:space="preserve">10</w:t>
      </w:r>
      <w:r>
        <w:rPr>
          <w:rFonts w:hint="eastAsia" w:ascii="宋体" w:hAnsi="宋体" w:eastAsia="宋体" w:cs="宋体"/>
          <w:b/>
          <w:color w:val="auto"/>
          <w:sz w:val="28"/>
          <w:szCs w:val="28"/>
          <w:highlight w:val="none"/>
        </w:rPr>
        <w:fldChar w:fldCharType="end"/>
      </w:r>
      <w:r/>
    </w:p>
    <w:p>
      <w:pPr>
        <w:pStyle w:val="982"/>
        <w:tabs>
          <w:tab w:val="right" w:pos="9604" w:leader="dot"/>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第三章 投标文件格式</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PAGEREF _Toc160701722 \h </w:instrText>
      </w:r>
      <w:r>
        <w:rPr>
          <w:rFonts w:hint="eastAsia" w:ascii="宋体" w:hAnsi="宋体" w:eastAsia="宋体" w:cs="宋体"/>
          <w:b/>
          <w:color w:val="auto"/>
          <w:sz w:val="28"/>
          <w:szCs w:val="28"/>
          <w:highlight w:val="none"/>
        </w:rPr>
        <w:fldChar w:fldCharType="separate"/>
      </w:r>
      <w:r>
        <w:rPr>
          <w:rFonts w:ascii="宋体" w:hAnsi="宋体" w:eastAsia="宋体" w:cs="宋体"/>
          <w:b/>
          <w:color w:val="auto"/>
          <w:sz w:val="28"/>
          <w:szCs w:val="28"/>
          <w:highlight w:val="none"/>
        </w:rPr>
        <w:t xml:space="preserve">30</w:t>
      </w:r>
      <w:r>
        <w:rPr>
          <w:rFonts w:hint="eastAsia" w:ascii="宋体" w:hAnsi="宋体" w:eastAsia="宋体" w:cs="宋体"/>
          <w:b/>
          <w:color w:val="auto"/>
          <w:sz w:val="28"/>
          <w:szCs w:val="28"/>
          <w:highlight w:val="none"/>
        </w:rPr>
        <w:fldChar w:fldCharType="end"/>
      </w:r>
      <w:r/>
    </w:p>
    <w:p>
      <w:pPr>
        <w:pStyle w:val="982"/>
        <w:tabs>
          <w:tab w:val="right" w:pos="9604" w:leader="dot"/>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第四章 采购内容</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PAGEREF _Toc160701726 \h </w:instrText>
      </w:r>
      <w:r>
        <w:rPr>
          <w:rFonts w:hint="eastAsia" w:ascii="宋体" w:hAnsi="宋体" w:eastAsia="宋体" w:cs="宋体"/>
          <w:b/>
          <w:color w:val="auto"/>
          <w:sz w:val="28"/>
          <w:szCs w:val="28"/>
          <w:highlight w:val="none"/>
        </w:rPr>
        <w:fldChar w:fldCharType="separate"/>
      </w:r>
      <w:r>
        <w:rPr>
          <w:rFonts w:ascii="宋体" w:hAnsi="宋体" w:eastAsia="宋体" w:cs="宋体"/>
          <w:b/>
          <w:color w:val="auto"/>
          <w:sz w:val="28"/>
          <w:szCs w:val="28"/>
          <w:highlight w:val="none"/>
        </w:rPr>
        <w:t xml:space="preserve">49</w:t>
      </w:r>
      <w:r>
        <w:rPr>
          <w:rFonts w:hint="eastAsia" w:ascii="宋体" w:hAnsi="宋体" w:eastAsia="宋体" w:cs="宋体"/>
          <w:b/>
          <w:color w:val="auto"/>
          <w:sz w:val="28"/>
          <w:szCs w:val="28"/>
          <w:highlight w:val="none"/>
        </w:rPr>
        <w:fldChar w:fldCharType="end"/>
      </w:r>
      <w:r/>
    </w:p>
    <w:p>
      <w:pPr>
        <w:pStyle w:val="982"/>
        <w:tabs>
          <w:tab w:val="right" w:pos="9604" w:leader="dot"/>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第五章 合同主要条款</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PAGEREF _Toc160701727 \h </w:instrText>
      </w:r>
      <w:r>
        <w:rPr>
          <w:rFonts w:hint="eastAsia" w:ascii="宋体" w:hAnsi="宋体" w:eastAsia="宋体" w:cs="宋体"/>
          <w:b/>
          <w:color w:val="auto"/>
          <w:sz w:val="28"/>
          <w:szCs w:val="28"/>
          <w:highlight w:val="none"/>
        </w:rPr>
        <w:fldChar w:fldCharType="separate"/>
      </w:r>
      <w:r>
        <w:rPr>
          <w:rFonts w:ascii="宋体" w:hAnsi="宋体" w:eastAsia="宋体" w:cs="宋体"/>
          <w:b/>
          <w:color w:val="auto"/>
          <w:sz w:val="28"/>
          <w:szCs w:val="28"/>
          <w:highlight w:val="none"/>
        </w:rPr>
        <w:t xml:space="preserve">63</w:t>
      </w:r>
      <w:r>
        <w:rPr>
          <w:rFonts w:hint="eastAsia" w:ascii="宋体" w:hAnsi="宋体" w:eastAsia="宋体" w:cs="宋体"/>
          <w:b/>
          <w:color w:val="auto"/>
          <w:sz w:val="28"/>
          <w:szCs w:val="28"/>
          <w:highlight w:val="none"/>
        </w:rPr>
        <w:fldChar w:fldCharType="end"/>
      </w:r>
      <w:r/>
    </w:p>
    <w:p>
      <w:pPr>
        <w:pStyle w:val="982"/>
        <w:tabs>
          <w:tab w:val="right" w:pos="9604" w:leader="dot"/>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第六章 评标办法及标准</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PAGEREF _Toc160701728 \h </w:instrText>
      </w:r>
      <w:r>
        <w:rPr>
          <w:rFonts w:hint="eastAsia" w:ascii="宋体" w:hAnsi="宋体" w:eastAsia="宋体" w:cs="宋体"/>
          <w:b/>
          <w:color w:val="auto"/>
          <w:sz w:val="28"/>
          <w:szCs w:val="28"/>
          <w:highlight w:val="none"/>
        </w:rPr>
        <w:fldChar w:fldCharType="separate"/>
      </w:r>
      <w:r>
        <w:rPr>
          <w:rFonts w:ascii="宋体" w:hAnsi="宋体" w:eastAsia="宋体" w:cs="宋体"/>
          <w:b/>
          <w:color w:val="auto"/>
          <w:sz w:val="28"/>
          <w:szCs w:val="28"/>
          <w:highlight w:val="none"/>
        </w:rPr>
        <w:t xml:space="preserve">72</w:t>
      </w:r>
      <w:r>
        <w:rPr>
          <w:rFonts w:hint="eastAsia" w:ascii="宋体" w:hAnsi="宋体" w:eastAsia="宋体" w:cs="宋体"/>
          <w:b/>
          <w:color w:val="auto"/>
          <w:sz w:val="28"/>
          <w:szCs w:val="28"/>
          <w:highlight w:val="none"/>
        </w:rPr>
        <w:fldChar w:fldCharType="end"/>
      </w:r>
      <w:r/>
    </w:p>
    <w:p>
      <w:pPr>
        <w:jc w:val="center"/>
        <w:spacing w:line="480" w:lineRule="auto"/>
        <w:rPr>
          <w:rFonts w:ascii="宋体" w:hAnsi="宋体" w:eastAsia="宋体" w:cs="宋体"/>
          <w:b/>
          <w:color w:val="auto"/>
          <w:sz w:val="24"/>
          <w:szCs w:val="24"/>
          <w:highlight w:val="none"/>
        </w:rPr>
      </w:pPr>
      <w:r>
        <w:rPr>
          <w:rFonts w:hint="eastAsia" w:ascii="宋体" w:hAnsi="宋体" w:eastAsia="宋体" w:cs="宋体"/>
          <w:b/>
          <w:color w:val="auto"/>
          <w:sz w:val="28"/>
          <w:szCs w:val="28"/>
          <w:highlight w:val="none"/>
        </w:rPr>
        <w:fldChar w:fldCharType="end"/>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rPr>
          <w:rFonts w:ascii="宋体" w:hAnsi="宋体" w:eastAsia="宋体" w:cs="宋体"/>
          <w:color w:val="auto"/>
          <w:highlight w:val="none"/>
        </w:rPr>
      </w:pPr>
      <w:r>
        <w:rPr>
          <w:rFonts w:hint="eastAsia" w:ascii="宋体" w:hAnsi="宋体" w:eastAsia="宋体" w:cs="宋体"/>
          <w:color w:val="auto"/>
          <w:highlight w:val="none"/>
        </w:rPr>
        <w:br w:type="page" w:clear="all"/>
      </w:r>
      <w:bookmarkStart w:id="0" w:name="_Toc388026583"/>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956"/>
        <w:jc w:val="center"/>
        <w:rPr>
          <w:rFonts w:ascii="宋体" w:hAnsi="宋体" w:eastAsia="宋体" w:cs="宋体"/>
          <w:color w:val="auto"/>
          <w:highlight w:val="none"/>
        </w:rPr>
      </w:pPr>
      <w:r/>
      <w:bookmarkStart w:id="1" w:name="_Toc494471870"/>
      <w:r/>
      <w:bookmarkStart w:id="2" w:name="_Toc160701720"/>
      <w:r>
        <w:rPr>
          <w:rFonts w:hint="eastAsia" w:ascii="宋体" w:hAnsi="宋体" w:eastAsia="宋体" w:cs="宋体"/>
          <w:color w:val="auto"/>
          <w:highlight w:val="none"/>
        </w:rPr>
        <w:t xml:space="preserve">第一章 </w:t>
      </w:r>
      <w:bookmarkEnd w:id="0"/>
      <w:r/>
      <w:bookmarkEnd w:id="1"/>
      <w:r>
        <w:rPr>
          <w:rFonts w:hint="eastAsia" w:ascii="宋体" w:hAnsi="宋体" w:eastAsia="宋体" w:cs="宋体"/>
          <w:color w:val="auto"/>
          <w:highlight w:val="none"/>
        </w:rPr>
        <w:t xml:space="preserve">招标公告</w:t>
      </w:r>
      <w:bookmarkEnd w:id="2"/>
      <w:r/>
      <w:r/>
    </w:p>
    <w:p>
      <w:pPr>
        <w:jc w:val="center"/>
        <w:spacing w:line="360" w:lineRule="auto"/>
        <w:rPr>
          <w:rFonts w:ascii="宋体" w:hAnsi="宋体" w:eastAsia="宋体" w:cs="宋体"/>
          <w:color w:val="auto"/>
          <w:szCs w:val="24"/>
          <w:highlight w:val="none"/>
          <w:u w:val="single"/>
        </w:rPr>
      </w:pPr>
      <w:r>
        <w:rPr>
          <w:rFonts w:hint="eastAsia" w:ascii="宋体" w:hAnsi="宋体" w:eastAsia="宋体" w:cs="宋体"/>
          <w:color w:val="auto"/>
          <w:highlight w:val="none"/>
        </w:rPr>
        <w:br w:type="page" w:clear="all"/>
      </w:r>
      <w:r>
        <w:rPr>
          <w:rFonts w:hint="eastAsia" w:ascii="宋体" w:hAnsi="宋体" w:eastAsia="宋体" w:cs="宋体"/>
          <w:b/>
          <w:color w:val="auto"/>
          <w:sz w:val="30"/>
          <w:szCs w:val="30"/>
          <w:highlight w:val="none"/>
        </w:rPr>
        <w:t xml:space="preserve">招标公告</w:t>
      </w:r>
      <w:r/>
    </w:p>
    <w:p>
      <w:pPr>
        <w:ind w:firstLine="480"/>
        <w:spacing w:line="360" w:lineRule="auto"/>
        <w:rPr>
          <w:rFonts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bookmarkStart w:id="3" w:name="OLE_LINK16"/>
      <w:r/>
      <w:bookmarkStart w:id="4" w:name="OLE_LINK37"/>
      <w:r>
        <w:rPr>
          <w:rFonts w:hint="eastAsia" w:ascii="宋体" w:hAnsi="宋体" w:eastAsia="宋体" w:cs="宋体"/>
          <w:color w:val="auto"/>
          <w:sz w:val="24"/>
          <w:szCs w:val="24"/>
          <w:highlight w:val="none"/>
        </w:rPr>
        <w:t xml:space="preserve">项目概况</w:t>
      </w:r>
      <w:r/>
    </w:p>
    <w:p>
      <w:pPr>
        <w:ind w:firstLine="480"/>
        <w:spacing w:line="360" w:lineRule="auto"/>
        <w:rPr>
          <w:rFonts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lang w:eastAsia="zh-CN"/>
        </w:rPr>
        <w:t xml:space="preserve">苏州高等职业技术学校房屋消防评估服务</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color w:val="auto"/>
          <w:sz w:val="24"/>
          <w:szCs w:val="24"/>
          <w:highlight w:val="none"/>
          <w:u w:val="single"/>
        </w:rPr>
        <w:t xml:space="preserve">“苏采云”系统</w:t>
      </w:r>
      <w:r>
        <w:rPr>
          <w:rFonts w:hint="eastAsia" w:ascii="宋体" w:hAnsi="宋体" w:eastAsia="宋体" w:cs="宋体"/>
          <w:color w:val="auto"/>
          <w:sz w:val="24"/>
          <w:szCs w:val="24"/>
          <w:highlight w:val="none"/>
        </w:rPr>
        <w:t xml:space="preserve">获取招标文件，并于</w:t>
      </w:r>
      <w:r>
        <w:rPr>
          <w:rFonts w:hint="eastAsia" w:ascii="宋体" w:hAnsi="宋体" w:eastAsia="宋体" w:cs="宋体"/>
          <w:color w:val="auto"/>
          <w:sz w:val="24"/>
          <w:szCs w:val="24"/>
          <w:highlight w:val="none"/>
          <w:u w:val="single"/>
        </w:rPr>
        <w:t xml:space="preserve">2025年</w:t>
      </w:r>
      <w:r>
        <w:rPr>
          <w:rFonts w:hint="eastAsia" w:ascii="宋体" w:hAnsi="宋体" w:eastAsia="宋体" w:cs="宋体"/>
          <w:color w:val="auto"/>
          <w:sz w:val="24"/>
          <w:szCs w:val="24"/>
          <w:highlight w:val="none"/>
          <w:u w:val="single"/>
          <w:lang w:eastAsia="zh-CN"/>
        </w:rPr>
        <w:t xml:space="preserve">11</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lang w:eastAsia="zh-CN"/>
        </w:rPr>
        <w:t xml:space="preserve">6</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eastAsia="zh-CN"/>
        </w:rPr>
        <w:t xml:space="preserve">10</w:t>
      </w:r>
      <w:r>
        <w:rPr>
          <w:rFonts w:hint="eastAsia" w:ascii="宋体" w:hAnsi="宋体" w:eastAsia="宋体" w:cs="宋体"/>
          <w:color w:val="auto"/>
          <w:sz w:val="24"/>
          <w:szCs w:val="24"/>
          <w:highlight w:val="none"/>
          <w:u w:val="single"/>
        </w:rPr>
        <w:t xml:space="preserve">点30分</w:t>
      </w:r>
      <w:r>
        <w:rPr>
          <w:rFonts w:hint="eastAsia" w:ascii="宋体" w:hAnsi="宋体" w:eastAsia="宋体" w:cs="宋体"/>
          <w:color w:val="auto"/>
          <w:sz w:val="24"/>
          <w:szCs w:val="24"/>
          <w:highlight w:val="none"/>
        </w:rPr>
        <w:t xml:space="preserve">（北京时间）前递交投标文件。</w:t>
      </w:r>
      <w:r/>
    </w:p>
    <w:p>
      <w:pPr>
        <w:pStyle w:val="1066"/>
        <w:ind w:firstLine="482"/>
        <w:spacing w:line="360" w:lineRule="auto"/>
        <w:tabs>
          <w:tab w:val="left" w:pos="808"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一、项目基本情况</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JSZC-320500-HWZX-G2025-0768</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苏州高等职业技术学校房屋消防评估服务</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预算金额：</w:t>
      </w:r>
      <w:r>
        <w:rPr>
          <w:rFonts w:hint="eastAsia" w:ascii="宋体" w:hAnsi="宋体" w:eastAsia="宋体" w:cs="宋体"/>
          <w:bCs/>
          <w:color w:val="auto"/>
          <w:sz w:val="24"/>
          <w:szCs w:val="24"/>
          <w:highlight w:val="none"/>
          <w:lang w:eastAsia="zh-CN"/>
        </w:rPr>
        <w:t xml:space="preserve">679998.00元</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最高限价：</w:t>
      </w:r>
      <w:r>
        <w:rPr>
          <w:rFonts w:hint="eastAsia" w:ascii="宋体" w:hAnsi="宋体" w:eastAsia="宋体" w:cs="宋体"/>
          <w:bCs/>
          <w:color w:val="auto"/>
          <w:sz w:val="24"/>
          <w:szCs w:val="24"/>
          <w:highlight w:val="none"/>
          <w:lang w:val="en-US" w:eastAsia="zh-CN"/>
        </w:rPr>
        <w:t xml:space="preserve">总价限价：679998.00元；单价限价：6元/平方米</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采购需求：</w:t>
      </w:r>
      <w:r>
        <w:rPr>
          <w:rFonts w:hint="eastAsia" w:ascii="宋体" w:hAnsi="宋体" w:eastAsia="宋体" w:cs="宋体"/>
          <w:color w:val="000000"/>
          <w:sz w:val="24"/>
          <w:szCs w:val="24"/>
          <w:highlight w:val="none"/>
        </w:rPr>
        <w:t xml:space="preserve">根据现行法律法规和标准规范对评估对象进行全面</w:t>
      </w:r>
      <w:r>
        <w:rPr>
          <w:rFonts w:hint="eastAsia" w:ascii="宋体" w:hAnsi="宋体" w:eastAsia="宋体" w:cs="宋体"/>
          <w:color w:val="000000"/>
          <w:sz w:val="24"/>
          <w:szCs w:val="24"/>
          <w:highlight w:val="none"/>
          <w:lang w:val="en-US" w:eastAsia="zh-CN"/>
        </w:rPr>
        <w:t xml:space="preserve">消防</w:t>
      </w:r>
      <w:r>
        <w:rPr>
          <w:rFonts w:hint="eastAsia" w:ascii="宋体" w:hAnsi="宋体" w:eastAsia="宋体" w:cs="宋体"/>
          <w:color w:val="000000"/>
          <w:sz w:val="24"/>
          <w:szCs w:val="24"/>
          <w:highlight w:val="none"/>
        </w:rPr>
        <w:t xml:space="preserve">评估，并出具</w:t>
      </w:r>
      <w:r>
        <w:rPr>
          <w:rFonts w:hint="eastAsia" w:ascii="宋体" w:hAnsi="宋体" w:eastAsia="宋体" w:cs="宋体"/>
          <w:color w:val="000000"/>
          <w:sz w:val="24"/>
          <w:szCs w:val="24"/>
          <w:highlight w:val="none"/>
          <w:lang w:val="en-US" w:eastAsia="zh-CN"/>
        </w:rPr>
        <w:t xml:space="preserve">消防</w:t>
      </w:r>
      <w:r>
        <w:rPr>
          <w:rFonts w:hint="eastAsia" w:ascii="宋体" w:hAnsi="宋体" w:eastAsia="宋体" w:cs="宋体"/>
          <w:color w:val="000000"/>
          <w:sz w:val="24"/>
          <w:szCs w:val="24"/>
          <w:highlight w:val="none"/>
        </w:rPr>
        <w:t xml:space="preserve">评估报告</w:t>
      </w:r>
      <w:r>
        <w:rPr>
          <w:rFonts w:hint="eastAsia" w:ascii="宋体" w:hAnsi="宋体" w:eastAsia="宋体" w:cs="宋体"/>
          <w:color w:val="000000"/>
          <w:sz w:val="24"/>
          <w:szCs w:val="24"/>
          <w:highlight w:val="none"/>
          <w:lang w:eastAsia="zh-CN"/>
        </w:rPr>
        <w:t xml:space="preserve">，报告格式及内容应满足当地主管部门要求</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详见招标文件第四章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20日历天</w:t>
      </w:r>
      <w:r>
        <w:rPr>
          <w:rFonts w:hint="eastAsia" w:ascii="宋体" w:hAnsi="宋体" w:eastAsia="宋体" w:cs="宋体"/>
          <w:color w:val="auto"/>
          <w:sz w:val="24"/>
          <w:szCs w:val="24"/>
          <w:highlight w:val="none"/>
        </w:rPr>
        <w:t xml:space="preserve">（具体起始时间以招标人通知为准）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服务验收标准：按照采购文件要求及相关标准进行验收</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二、申请人的资格要求：</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1.满足《中华人民共和国政府采购法》第二十二条规定，即：</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（4）具有依法缴纳税收和社会保障资金的良好记录；</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（5）参加政府采购活动近三年内，在经营活动中没有重大违法记录；</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（7）法律、行政法规规定的其他条件。</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w:t>
      </w:r>
      <w:r>
        <w:rPr>
          <w:rFonts w:hint="eastAsia" w:ascii="宋体" w:hAnsi="宋体" w:eastAsia="宋体" w:cs="宋体"/>
          <w:b/>
          <w:bCs/>
          <w:color w:val="auto"/>
          <w:sz w:val="24"/>
          <w:highlight w:val="none"/>
          <w:u w:val="single"/>
          <w:lang w:val="zh-CN"/>
        </w:rPr>
        <w:t xml:space="preserve">本项目专门面向中小企业</w:t>
      </w:r>
      <w:r>
        <w:rPr>
          <w:rFonts w:hint="eastAsia" w:ascii="宋体" w:hAnsi="宋体" w:eastAsia="宋体" w:cs="宋体"/>
          <w:color w:val="auto"/>
          <w:sz w:val="24"/>
          <w:highlight w:val="none"/>
          <w:lang w:val="zh-CN"/>
        </w:rPr>
        <w:t xml:space="preserve">，所属行业为</w:t>
      </w:r>
      <w:r>
        <w:rPr>
          <w:rFonts w:hint="eastAsia" w:ascii="宋体" w:hAnsi="宋体" w:eastAsia="宋体" w:cs="宋体"/>
          <w:b/>
          <w:bCs/>
          <w:color w:val="auto"/>
          <w:sz w:val="24"/>
          <w:highlight w:val="none"/>
          <w:u w:val="single"/>
          <w:lang w:eastAsia="zh-CN"/>
        </w:rPr>
        <w:t xml:space="preserve">其他未列明行业</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lang w:val="zh-CN"/>
        </w:rPr>
        <w:t xml:space="preserve">应为中小微企业或监狱企业或残疾人福利性单位。</w:t>
      </w:r>
      <w:r/>
    </w:p>
    <w:p>
      <w:pPr>
        <w:ind w:firstLine="482"/>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3.本项目的特定资格要求：</w:t>
      </w:r>
      <w:r>
        <w:rPr>
          <w:rFonts w:hint="eastAsia" w:ascii="宋体" w:hAnsi="宋体" w:eastAsia="宋体" w:cs="宋体"/>
          <w:b/>
          <w:bCs/>
          <w:color w:val="auto"/>
          <w:sz w:val="24"/>
          <w:highlight w:val="none"/>
          <w:lang w:val="en-US" w:eastAsia="zh-CN"/>
        </w:rPr>
        <w:t xml:space="preserve">项目负责人具有一级注册消防工程师执业资格，并在社会消防技术服务信息系统内备案</w:t>
      </w:r>
      <w:r>
        <w:rPr>
          <w:rFonts w:hint="eastAsia" w:ascii="宋体" w:hAnsi="宋体" w:eastAsia="宋体" w:cs="宋体"/>
          <w:b/>
          <w:bCs/>
          <w:color w:val="auto"/>
          <w:sz w:val="24"/>
          <w:highlight w:val="none"/>
        </w:rPr>
        <w:t xml:space="preserve">。</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注：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时间：自招标文件公告发布之日起5个工作日</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地点：“苏采云”系统（网址：http://jszfcg.jsczt.cn/）</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方式：线上获取，详见公告</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rPr>
        <w:t xml:space="preserve">2025年</w:t>
      </w:r>
      <w:r>
        <w:rPr>
          <w:rFonts w:hint="eastAsia" w:ascii="宋体" w:hAnsi="宋体" w:eastAsia="宋体" w:cs="宋体"/>
          <w:color w:val="auto"/>
          <w:sz w:val="24"/>
          <w:szCs w:val="24"/>
          <w:highlight w:val="none"/>
          <w:u w:val="single"/>
        </w:rPr>
        <w:t xml:space="preserve">11</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rPr>
        <w:t xml:space="preserve">点30分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00"/>
          <w:rFonts w:hint="eastAsia" w:ascii="宋体" w:hAnsi="宋体" w:eastAsia="宋体" w:cs="宋体"/>
          <w:color w:val="auto"/>
          <w:sz w:val="24"/>
          <w:szCs w:val="24"/>
          <w:highlight w:val="none"/>
        </w:rPr>
        <w:t xml:space="preserve">http://jszfcg.jsczt.cn/）</w:t>
      </w:r>
      <w:r>
        <w:rPr>
          <w:rStyle w:val="1000"/>
          <w:rFonts w:hint="eastAsia" w:ascii="宋体" w:hAnsi="宋体" w:eastAsia="宋体" w:cs="宋体"/>
          <w:color w:val="auto"/>
          <w:sz w:val="24"/>
          <w:szCs w:val="24"/>
          <w:highlight w:val="none"/>
        </w:rPr>
        <w:fldChar w:fldCharType="end"/>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五、公告期限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bookmarkEnd w:id="3"/>
      <w:r/>
      <w:bookmarkEnd w:id="4"/>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六、其他补充事项：</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1、线上获取方式：</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（1）CA证书办理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auto"/>
          <w:sz w:val="24"/>
          <w:szCs w:val="24"/>
          <w:highlight w:val="none"/>
        </w:rPr>
        <w:t xml:space="preserve">苏州现场办理地址：苏州市姑苏区平泷路251号政务服务中心4楼公共交易中心窗口，咨询电话：0512-69820834</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（2）参与采购活动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考虑到熟悉“苏采云”系统、办理CA证书都需要一定的时间，请提早准备以免耽误招标采购活动。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（3）电子投标准备</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color w:val="auto"/>
          <w:sz w:val="24"/>
          <w:szCs w:val="24"/>
          <w:highlight w:val="none"/>
        </w:rPr>
        <w:t xml:space="preserve">（具体详见《苏采云系统供应商操作手册》，网址链接https://czju.suzhou.gov.cn/zfcg/html/content/20231220161910031.shtml）</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在系统操作过程中如有疑问，请按以下方式联系：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注册咨询：18261002950；</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CA技术咨询电话：400-608-6099；</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签章使用问题：025-83633811、025-83633812、15380932027、15371015030；</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系统使用指导与咨询：联系电话：18261002950；QQ：3048755361、1315179389、895706745。</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需保持“苏采云”系统不见面开标大厅在线状态，并按要求在规定时间内进行响应。在评审过程中系统如有特殊情况，工作人员会及时通过《投标供应商确认函》或法定代表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8、苏州市政府采购监督电话：0512-68616651。</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9、本次采购的有关信息将在苏州市政府采购网、江苏政府采购网上发布、中国政府采购网，敬请留意</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七、对本次招标提出的询问，请按以下方式联系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苏州高等职业技术学校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地址：苏州市高新区塔园路68号</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sz w:val="24"/>
          <w:szCs w:val="24"/>
          <w:highlight w:val="none"/>
          <w:lang w:val="en-US" w:eastAsia="zh-CN"/>
        </w:rPr>
        <w:t xml:space="preserve">刘亚波</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default" w:ascii="宋体" w:hAnsi="宋体" w:eastAsia="宋体" w:cs="宋体"/>
          <w:sz w:val="24"/>
          <w:szCs w:val="24"/>
          <w:highlight w:val="none"/>
          <w:lang w:val="en-US" w:eastAsia="zh-CN"/>
        </w:rPr>
        <w:t xml:space="preserve">0512-68246681</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2.招标代理机构信息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江苏海外集团国际工程咨询有限公司</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苏州市高新区灵岩街6号资管大厦8层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联系人：何磊、章宏杰、孙翠华、郭彩</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联系电话：0512-65160659</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项目联系人：何磊、章宏杰、孙翠华、郭彩</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eastAsia="zh-CN"/>
        </w:rPr>
        <w:t xml:space="preserve">0512-65160659</w:t>
      </w:r>
      <w:r/>
    </w:p>
    <w:p>
      <w:pPr>
        <w:rPr>
          <w:color w:val="auto"/>
          <w:highlight w:val="none"/>
        </w:rPr>
      </w:pPr>
      <w:r/>
      <w:bookmarkStart w:id="5" w:name="_Toc494471871"/>
      <w:r/>
      <w:bookmarkStart w:id="6" w:name="_Toc160701721"/>
      <w:r/>
      <w:bookmarkStart w:id="7" w:name="_Toc388026584"/>
      <w:r>
        <w:rPr>
          <w:rFonts w:hint="eastAsia"/>
          <w:color w:val="auto"/>
          <w:highlight w:val="none"/>
        </w:rPr>
        <w:br w:type="page" w:clear="all"/>
      </w:r>
      <w:r/>
    </w:p>
    <w:p>
      <w:pPr>
        <w:pStyle w:val="956"/>
        <w:jc w:val="center"/>
        <w:spacing w:line="560" w:lineRule="exact"/>
        <w:rPr>
          <w:rFonts w:ascii="宋体" w:hAnsi="宋体" w:eastAsia="宋体" w:cs="宋体"/>
          <w:color w:val="auto"/>
          <w:highlight w:val="none"/>
        </w:rPr>
      </w:pPr>
      <w:r>
        <w:rPr>
          <w:rFonts w:ascii="宋体" w:hAnsi="宋体" w:eastAsia="宋体" w:cs="宋体"/>
          <w:color w:val="auto"/>
          <w:highlight w:val="none"/>
        </w:rPr>
      </w:r>
      <w:r/>
    </w:p>
    <w:p>
      <w:pPr>
        <w:pStyle w:val="956"/>
        <w:jc w:val="center"/>
        <w:spacing w:line="560" w:lineRule="exact"/>
        <w:rPr>
          <w:rFonts w:ascii="宋体" w:hAnsi="宋体" w:eastAsia="宋体" w:cs="宋体"/>
          <w:color w:val="auto"/>
          <w:highlight w:val="none"/>
        </w:rPr>
      </w:pPr>
      <w:r>
        <w:rPr>
          <w:rFonts w:ascii="宋体" w:hAnsi="宋体" w:eastAsia="宋体" w:cs="宋体"/>
          <w:color w:val="auto"/>
          <w:highlight w:val="none"/>
        </w:rPr>
      </w:r>
      <w:r/>
    </w:p>
    <w:p>
      <w:pPr>
        <w:pStyle w:val="956"/>
        <w:jc w:val="center"/>
        <w:spacing w:line="560" w:lineRule="exact"/>
        <w:rPr>
          <w:rFonts w:ascii="宋体" w:hAnsi="宋体" w:eastAsia="宋体" w:cs="宋体"/>
          <w:color w:val="auto"/>
          <w:highlight w:val="none"/>
        </w:rPr>
      </w:pPr>
      <w:r>
        <w:rPr>
          <w:rFonts w:ascii="宋体" w:hAnsi="宋体" w:eastAsia="宋体" w:cs="宋体"/>
          <w:color w:val="auto"/>
          <w:highlight w:val="none"/>
        </w:rPr>
      </w:r>
      <w:r/>
    </w:p>
    <w:p>
      <w:pPr>
        <w:pStyle w:val="956"/>
        <w:jc w:val="center"/>
        <w:spacing w:line="560" w:lineRule="exact"/>
        <w:rPr>
          <w:rFonts w:ascii="宋体" w:hAnsi="宋体" w:eastAsia="宋体" w:cs="宋体"/>
          <w:color w:val="auto"/>
          <w:highlight w:val="none"/>
        </w:rPr>
      </w:pPr>
      <w:r>
        <w:rPr>
          <w:rFonts w:hint="eastAsia" w:ascii="宋体" w:hAnsi="宋体" w:eastAsia="宋体" w:cs="宋体"/>
          <w:color w:val="auto"/>
          <w:highlight w:val="none"/>
        </w:rPr>
        <w:t xml:space="preserve">第二章 投标人须知</w:t>
      </w:r>
      <w:bookmarkEnd w:id="5"/>
      <w:r/>
      <w:bookmarkEnd w:id="6"/>
      <w:r/>
      <w:bookmarkEnd w:id="7"/>
      <w:r/>
      <w:r/>
    </w:p>
    <w:p>
      <w:pPr>
        <w:ind w:firstLine="520"/>
        <w:spacing w:line="360" w:lineRule="auto"/>
        <w:rPr>
          <w:rFonts w:ascii="宋体" w:hAnsi="宋体" w:eastAsia="宋体" w:cs="宋体"/>
          <w:b/>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4"/>
          <w:szCs w:val="24"/>
          <w:highlight w:val="none"/>
        </w:rPr>
        <w:t xml:space="preserve">一、说明和释义</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 说明</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1.1本招标文件仅适用于</w:t>
      </w:r>
      <w:r>
        <w:rPr>
          <w:rFonts w:hint="eastAsia" w:ascii="宋体" w:hAnsi="宋体" w:eastAsia="宋体" w:cs="宋体"/>
          <w:bCs/>
          <w:color w:val="auto"/>
          <w:szCs w:val="24"/>
          <w:highlight w:val="none"/>
          <w:lang w:eastAsia="zh-CN"/>
        </w:rPr>
        <w:t xml:space="preserve">江苏海外集团国际工程咨询有限公司</w:t>
      </w:r>
      <w:r>
        <w:rPr>
          <w:rFonts w:hint="eastAsia" w:ascii="宋体" w:hAnsi="宋体" w:eastAsia="宋体" w:cs="宋体"/>
          <w:color w:val="auto"/>
          <w:szCs w:val="24"/>
          <w:highlight w:val="none"/>
        </w:rPr>
        <w:t xml:space="preserve">组织的招标活动。</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1.2本次招标活动及因本次招标产生的合同受中国法律制约和保护。</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1.3本招标文件的解释权属于</w:t>
      </w:r>
      <w:r>
        <w:rPr>
          <w:rFonts w:hint="eastAsia" w:ascii="宋体" w:hAnsi="宋体" w:eastAsia="宋体" w:cs="宋体"/>
          <w:bCs/>
          <w:color w:val="auto"/>
          <w:szCs w:val="24"/>
          <w:highlight w:val="none"/>
          <w:lang w:eastAsia="zh-CN"/>
        </w:rPr>
        <w:t xml:space="preserve">江苏海外集团国际工程咨询有限公司</w:t>
      </w:r>
      <w:r>
        <w:rPr>
          <w:rFonts w:hint="eastAsia" w:ascii="宋体" w:hAnsi="宋体" w:eastAsia="宋体" w:cs="宋体"/>
          <w:color w:val="auto"/>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 词语释义</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2.1招标人：指依法进行政府采购的国家机关、事业单位、团体组织。</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2.2供应商：指向招标人提供货物、工程或服务的法人、其他组织或者自然人。</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2.3投标单位/投标人：指参加政府采购货物服务投标活动的供应商。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2.4招标代理机构：指依法接受招标人委托，从事货物、工程和服务等政府采购招标代理业务的社会中介机构。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2.5招标采购单位：招标人及招标代理机构的统称。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2.6评标委员会： 是指在招标投标和政府采购活动中，依法由招标人代表和有关技术、经济等方面的专家组建，负责对投标文件进行评审并提出评审意见的临时性权威机构。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2.7响应：投标人根据招标人或招标代理机构发布的招标文件，编制投标文件并按规定投标的行为。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2.8知识产权：指专利权、商标权、著作权等无形财产专有权的统称。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2.9天：日历日。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2.10服务地点：合同中明确约定的乙方履行服务的最终地点。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2.11不可抗力：不能预见、不能避免并且不能克服的客观情况。</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2.13书面形式：指书面文字、合同书、信件和传真等可以有形地表现所载内容的形式。</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 投标人</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 合格投标人的基本条件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详见招标公告</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4．合格投标人的特定条件、落实政府采购政策需满足的资格要求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详见招标公告</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投标人必须进入苏采云系统进行网上报名，否则不能参加本次招标活动。</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 投标人代表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6.1指全权代表投标人参加投标活动并签署投标文件的人，如果投标人代表不是法人代表，须持有《法人代表授权委托书》（详见统一格式）。</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 联合投标（本项目不接受联合体投标）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接受联合体投标的，由两个或两个以上法人组成一个联合体以一个投标人的身份共同投标时，联合体各方均应当符合政府采购法第二十二条第一款规定的条件。同时还应符合以下要求：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7.1联合体各方中至少应当有一方符合本招标文件规定的投标人资格条件的特定条件。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联合体各方应签订联合投标协议（详见统一格式)，明确联合体的牵头人，明确约定各方拟承担的工作和责任，并将该联合投标协议随投标文件一并提交给招标代理机构。联合体牵头人应被授权作为联合体所有成员的代表承担责任和接受指令，并负责整个合同的全面履行。</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7.3联合体各成员之间签订的联合体协议书应与投标文件一起递交。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7.5联合体各方应当共同与招标人签订合同，就采购合同约定的事项对招标人承担连带责任。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除非另有规定或说明，本文中“投标人”一词亦指联合体各成员。</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 投标费用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8.1投标人应自行承担所有准备及参加投标的相关费用。不论投标结果如何，招标人和招标代理机构在任何情况下均无义务也无责任承担这些费用。</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 招标文件说明</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 招标文件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招标文件由招标文件目录所列内容组成，投标人报名确认后下载获取招标文件后，应仔细检查招标文件的所有内容，如有残缺等问题应在获取招标文件2日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10.现场考察（如涉及）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10.1投标人应按</w:t>
      </w:r>
      <w:r>
        <w:rPr>
          <w:rFonts w:hint="eastAsia" w:ascii="宋体" w:hAnsi="宋体" w:eastAsia="宋体" w:cs="宋体"/>
          <w:bCs/>
          <w:color w:val="auto"/>
          <w:sz w:val="24"/>
          <w:szCs w:val="24"/>
          <w:highlight w:val="none"/>
        </w:rPr>
        <w:t xml:space="preserve">招标文件中所述时间</w:t>
      </w:r>
      <w:r>
        <w:rPr>
          <w:rFonts w:hint="eastAsia" w:ascii="宋体" w:hAnsi="宋体" w:eastAsia="宋体" w:cs="宋体"/>
          <w:color w:val="auto"/>
          <w:sz w:val="24"/>
          <w:szCs w:val="24"/>
          <w:highlight w:val="none"/>
        </w:rPr>
        <w:t xml:space="preserve">对有关现场和周围环境进行考察，以获取编制投标文件和签署合同所需的信息。考察现场所发生的费用由投标人自己承担。</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10.2招标采购单位向投标人提供的有关现场的资料和数据，是招标采购单位现有的并认为能使投标人可利用的资料。招标采购单位对投标人由此而做出的推论、理解和结论概不负责。</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10.3 经招标采购单位允许，投标人可为考察目的进入招标采购单位的项目现场，但投标人不得因此使招标采购单位承担有关的责任和蒙受损失。投标人应承担考察现场的责任和风险。</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10.4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11.招标文件的澄清和修改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w:t>
      </w:r>
      <w:r>
        <w:rPr>
          <w:rFonts w:hint="eastAsia" w:ascii="宋体" w:hAnsi="宋体" w:eastAsia="宋体" w:cs="宋体"/>
          <w:color w:val="auto"/>
          <w:sz w:val="24"/>
          <w:szCs w:val="24"/>
          <w:highlight w:val="none"/>
        </w:rPr>
        <w:t xml:space="preserve">投标人如有疑问需要澄清，可通过公告中的联系方式及时提出，招标人或招标代理机构将予以解答，但答复内容不得涉及商业秘密。</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11.2迟于前附表规定时间的询问或提交的疑问</w:t>
      </w:r>
      <w:r>
        <w:rPr>
          <w:rFonts w:hint="eastAsia" w:ascii="宋体" w:hAnsi="宋体" w:eastAsia="宋体" w:cs="宋体"/>
          <w:color w:val="auto"/>
          <w:sz w:val="24"/>
          <w:szCs w:val="24"/>
          <w:highlight w:val="none"/>
        </w:rPr>
        <w:t xml:space="preserve">提出的</w:t>
      </w:r>
      <w:r>
        <w:rPr>
          <w:rFonts w:hint="eastAsia" w:ascii="宋体" w:hAnsi="宋体" w:eastAsia="宋体" w:cs="宋体"/>
          <w:bCs/>
          <w:color w:val="auto"/>
          <w:sz w:val="24"/>
          <w:szCs w:val="24"/>
          <w:highlight w:val="none"/>
        </w:rPr>
        <w:t xml:space="preserve">，招标人和招标代理机构有权拒绝回答，也不承担由此带来的对投标人投标结果的影响。</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11.3在投标截止时间15日前，招标采购单位无论出于自己的考虑，还是出于对投标人提问的澄清，均可对已发出的招标文件进行必要澄清或者修改。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11.4为使投标人有足够的时间按招标文件的修改要求考虑修正投标文件，或出于其他原因，招标采购单位有权推迟投标截止日期和开标日期，将此变更通知所有招标文件的收受人。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11.5招标文件的更正（含澄清、修改等）内容与原招标文件在同一内容上表述不一致时，以发出日期最接近开标时间的公告为准。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11.6招标文件的更正（含澄清、修改等）内容将在财政部门指定的政府采购信息发布媒体上发布，作为招标文件的组成部分，对投标人起约束作用。</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 投标文件说明</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 投标文件计量单位和使用文字</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12.1投标文件中所使用的计量单位，除招标文件中有特殊要求外，均应使用中华人民共和国法定计量单位。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8" w:name="_Toc217446047"/>
      <w:r>
        <w:rPr>
          <w:rFonts w:hint="eastAsia" w:ascii="宋体" w:hAnsi="宋体" w:eastAsia="宋体" w:cs="宋体"/>
          <w:color w:val="auto"/>
          <w:sz w:val="24"/>
          <w:szCs w:val="24"/>
          <w:highlight w:val="none"/>
        </w:rPr>
        <w:t xml:space="preserve">3. 知识产权</w:t>
      </w:r>
      <w:bookmarkEnd w:id="8"/>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应保证在本项目使用的任何服务（包括部分使用）时，不会产生因第三方提出侵犯其专利权、商标权或其它知识产权而引起的法律和经济纠纷，如因专利权、商标权或其它知识产权而引起法律和经济纠纷，由投标人承担所有相关责任。</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 投标文件的组成</w:t>
      </w:r>
      <w:r/>
    </w:p>
    <w:p>
      <w:pPr>
        <w:pStyle w:val="1065"/>
        <w:ind w:firstLine="470"/>
        <w:spacing w:line="360" w:lineRule="auto"/>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基本目录：</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1、封面；</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2、开标一览表（系统自动生成）；</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3、法定代表人授权委托书（如有授权）；</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4、法定代表人身份证扫描件、授权委托人身份证扫描件签公章（如有授权）；</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lang w:eastAsia="zh-CN"/>
        </w:rPr>
        <w:t xml:space="preserve">授权委托人社保缴纳证明签公章（如有授权）；</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6、《项目负责人情况一览表》、《人员配备一览表》；</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7、企业类似业绩一览表；</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8、投标（响应）保证承诺书；</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9、</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lang w:eastAsia="zh-CN"/>
        </w:rPr>
        <w:t xml:space="preserve">情况表；</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10、项目服务方案；</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11、采购需求所涉及到的其他材料等。</w:t>
      </w:r>
      <w:r/>
    </w:p>
    <w:p>
      <w:pPr>
        <w:pStyle w:val="1065"/>
        <w:ind w:firstLine="470"/>
        <w:spacing w:line="360" w:lineRule="auto"/>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资格条件：</w:t>
      </w:r>
      <w:r/>
    </w:p>
    <w:p>
      <w:pPr>
        <w:pStyle w:val="1065"/>
        <w:ind w:firstLine="468"/>
        <w:spacing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12、响应供应商营业执照副本扫描件；</w:t>
      </w:r>
      <w:r/>
    </w:p>
    <w:p>
      <w:pPr>
        <w:pStyle w:val="1065"/>
        <w:ind w:firstLine="468"/>
        <w:spacing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13、响应供应商具有良好的商业信誉和健全的财务会计制度。提供包括但不限于最近一期财务报表或经审计的财务报告，其他组织、自然人及成立未满一年的法人应提供银行出具的资信证明；</w:t>
      </w:r>
      <w:r/>
    </w:p>
    <w:p>
      <w:pPr>
        <w:pStyle w:val="1065"/>
        <w:ind w:firstLine="468"/>
        <w:spacing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14、响应供应商具有履行合同所必需的设备和专业技术能力，提供证明材料或承诺函；</w:t>
      </w:r>
      <w:r/>
    </w:p>
    <w:p>
      <w:pPr>
        <w:pStyle w:val="1065"/>
        <w:ind w:firstLine="468"/>
        <w:spacing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响应供应商具有依法缴纳税收和社会保障资金的良好记录：提供税务登记证（如有）和近一年内依法缴纳税收的凭据；提供近一年内依法缴纳社会保险的凭据的相关材料。供应商如依法享受缓缴、免缴税收、社会保障资金的应提供相关主管部门出具的证明材料；</w:t>
      </w:r>
      <w:r/>
    </w:p>
    <w:p>
      <w:pPr>
        <w:pStyle w:val="1065"/>
        <w:ind w:firstLine="468"/>
        <w:spacing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16、响应供应商参加政府采购活动前3年内在经营活动中没有重大违法记录的书面声明函；</w:t>
      </w:r>
      <w:r/>
    </w:p>
    <w:p>
      <w:pPr>
        <w:pStyle w:val="1065"/>
        <w:ind w:firstLine="468"/>
        <w:spacing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17、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提供关于资格文件的声明函及供应商与其他单位存在控股、管理关系情况表；</w:t>
      </w:r>
      <w:r/>
    </w:p>
    <w:p>
      <w:pPr>
        <w:pStyle w:val="1065"/>
        <w:ind w:firstLine="468"/>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18、落实政府采购政策需满足的资格要求：</w:t>
      </w:r>
      <w:r>
        <w:rPr>
          <w:rFonts w:hint="eastAsia" w:ascii="宋体" w:hAnsi="宋体" w:eastAsia="宋体" w:cs="宋体"/>
          <w:b/>
          <w:bCs/>
          <w:color w:val="auto"/>
          <w:highlight w:val="none"/>
          <w:lang w:val="en-US" w:eastAsia="zh-CN"/>
        </w:rPr>
        <w:t xml:space="preserve">本项目专门面向中小企业，所属行业为其他未列明行业</w:t>
      </w:r>
      <w:r>
        <w:rPr>
          <w:rFonts w:hint="eastAsia" w:ascii="宋体" w:hAnsi="宋体" w:eastAsia="宋体" w:cs="宋体"/>
          <w:color w:val="auto"/>
          <w:highlight w:val="none"/>
          <w:lang w:val="en-US" w:eastAsia="zh-CN"/>
        </w:rPr>
        <w:t xml:space="preserve">，供应商应为中小微企业或监狱企业或残疾人福利性单位。提供对应的《中小企业声明函》或《残疾人福利性单位声明函》或省级以上监狱管理局、戒毒管理局（含新疆生产建设兵团）出具的属于监狱企业的证明文件；</w:t>
      </w:r>
      <w:r/>
    </w:p>
    <w:p>
      <w:pPr>
        <w:pStyle w:val="1065"/>
        <w:ind w:firstLine="468"/>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19、</w:t>
      </w:r>
      <w:r>
        <w:rPr>
          <w:rFonts w:ascii="宋体" w:hAnsi="宋体" w:eastAsia="宋体" w:cs="宋体"/>
          <w:color w:val="000000"/>
          <w:sz w:val="24"/>
          <w:highlight w:val="none"/>
        </w:rPr>
        <w:t xml:space="preserve">符合本项目特殊资格要求的证明材料以及其它有关资格证明文件</w:t>
      </w:r>
      <w:r>
        <w:rPr>
          <w:rFonts w:hint="eastAsia" w:ascii="宋体" w:hAnsi="宋体" w:eastAsia="宋体" w:cs="宋体"/>
          <w:color w:val="000000"/>
          <w:sz w:val="24"/>
          <w:highlight w:val="none"/>
          <w:lang w:eastAsia="zh-CN"/>
        </w:rPr>
        <w:t xml:space="preserve">：项目负责人</w:t>
      </w:r>
      <w:r>
        <w:rPr>
          <w:rFonts w:hint="eastAsia" w:ascii="宋体" w:hAnsi="宋体" w:eastAsia="宋体" w:cs="宋体"/>
          <w:color w:val="000000"/>
          <w:sz w:val="24"/>
          <w:highlight w:val="none"/>
          <w:lang w:val="en-US" w:eastAsia="zh-CN"/>
        </w:rPr>
        <w:t xml:space="preserve">具有</w:t>
      </w:r>
      <w:r>
        <w:rPr>
          <w:rFonts w:hint="eastAsia" w:ascii="宋体" w:hAnsi="宋体" w:eastAsia="宋体" w:cs="宋体"/>
          <w:color w:val="000000"/>
          <w:sz w:val="24"/>
          <w:highlight w:val="none"/>
          <w:lang w:eastAsia="zh-CN"/>
        </w:rPr>
        <w:t xml:space="preserve">一级注册消防工程师执业资格</w:t>
      </w:r>
      <w:r>
        <w:rPr>
          <w:rFonts w:hint="eastAsia" w:ascii="宋体" w:hAnsi="宋体" w:eastAsia="宋体" w:cs="宋体"/>
          <w:color w:val="000000"/>
          <w:sz w:val="24"/>
          <w:highlight w:val="none"/>
          <w:lang w:val="en-US" w:eastAsia="zh-CN"/>
        </w:rPr>
        <w:t xml:space="preserve">证书的扫描件</w:t>
      </w:r>
      <w:r>
        <w:rPr>
          <w:rFonts w:hint="eastAsia" w:ascii="宋体" w:hAnsi="宋体" w:eastAsia="宋体" w:cs="宋体"/>
          <w:color w:val="000000"/>
          <w:sz w:val="24"/>
          <w:highlight w:val="none"/>
          <w:lang w:eastAsia="zh-CN"/>
        </w:rPr>
        <w:t xml:space="preserve">，并</w:t>
      </w:r>
      <w:r>
        <w:rPr>
          <w:rFonts w:hint="eastAsia" w:ascii="宋体" w:hAnsi="宋体" w:eastAsia="宋体" w:cs="宋体"/>
          <w:color w:val="000000"/>
          <w:sz w:val="24"/>
          <w:highlight w:val="none"/>
          <w:lang w:val="en-US" w:eastAsia="zh-CN"/>
        </w:rPr>
        <w:t xml:space="preserve">提供</w:t>
      </w:r>
      <w:r>
        <w:rPr>
          <w:rFonts w:hint="eastAsia" w:ascii="宋体" w:hAnsi="宋体" w:eastAsia="宋体" w:cs="宋体"/>
          <w:color w:val="000000"/>
          <w:sz w:val="24"/>
          <w:highlight w:val="none"/>
          <w:lang w:eastAsia="zh-CN"/>
        </w:rPr>
        <w:t xml:space="preserve">在社会消防技术服务信息系统内备案</w:t>
      </w:r>
      <w:r>
        <w:rPr>
          <w:rFonts w:hint="eastAsia" w:ascii="宋体" w:hAnsi="宋体" w:eastAsia="宋体" w:cs="宋体"/>
          <w:color w:val="000000"/>
          <w:sz w:val="24"/>
          <w:highlight w:val="none"/>
          <w:lang w:val="en-US" w:eastAsia="zh-CN"/>
        </w:rPr>
        <w:t xml:space="preserve">的截图</w:t>
      </w:r>
      <w:r>
        <w:rPr>
          <w:rFonts w:hint="eastAsia" w:ascii="宋体" w:hAnsi="宋体" w:eastAsia="宋体" w:cs="宋体"/>
          <w:color w:val="000000"/>
          <w:sz w:val="24"/>
          <w:highlight w:val="none"/>
          <w:lang w:eastAsia="zh-CN"/>
        </w:rPr>
        <w:t xml:space="preserve">。</w:t>
      </w:r>
      <w:r/>
    </w:p>
    <w:p>
      <w:pPr>
        <w:pStyle w:val="1065"/>
        <w:ind w:firstLine="470"/>
        <w:spacing w:line="360" w:lineRule="auto"/>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符合条件：</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20、</w:t>
      </w:r>
      <w:r>
        <w:rPr>
          <w:rFonts w:hint="eastAsia" w:ascii="宋体" w:hAnsi="宋体" w:eastAsia="宋体" w:cs="宋体"/>
          <w:color w:val="auto"/>
          <w:highlight w:val="none"/>
          <w:lang w:eastAsia="zh-CN"/>
        </w:rPr>
        <w:t xml:space="preserve">投标函（详见投标文件格式）；</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投标报价表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分项报价明细表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）(详见投标文件格式)；</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22、</w:t>
      </w:r>
      <w:r>
        <w:rPr>
          <w:rFonts w:hint="eastAsia" w:ascii="宋体" w:hAnsi="宋体" w:eastAsia="宋体" w:cs="宋体"/>
          <w:color w:val="auto"/>
          <w:highlight w:val="none"/>
          <w:lang w:eastAsia="zh-CN"/>
        </w:rPr>
        <w:t xml:space="preserve">《服务要求偏离表》、《商务条款偏离表》（详见投标文件格式）；</w:t>
      </w:r>
      <w:r/>
    </w:p>
    <w:p>
      <w:pPr>
        <w:pStyle w:val="1065"/>
        <w:ind w:firstLine="468"/>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23、项目相关的符合性审查证明文件。（如有要求则必须提供相应材料，否则将被认定为未实质性响应招标文件要求）；</w:t>
      </w:r>
      <w:r/>
    </w:p>
    <w:p>
      <w:pPr>
        <w:pStyle w:val="1065"/>
        <w:ind w:firstLine="470"/>
        <w:spacing w:line="360" w:lineRule="auto"/>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综合评审评分项：</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24、</w:t>
      </w:r>
      <w:r>
        <w:rPr>
          <w:rFonts w:hint="eastAsia" w:ascii="宋体" w:hAnsi="宋体" w:eastAsia="宋体" w:cs="宋体"/>
          <w:color w:val="auto"/>
          <w:highlight w:val="none"/>
          <w:lang w:eastAsia="zh-CN"/>
        </w:rPr>
        <w:t xml:space="preserve">招标文件评分标准中规定提交的其他相关材料；</w:t>
      </w:r>
      <w:r/>
    </w:p>
    <w:p>
      <w:pPr>
        <w:pStyle w:val="1065"/>
        <w:ind w:firstLine="470"/>
        <w:spacing w:line="360" w:lineRule="auto"/>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价格折扣文件：</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25、</w:t>
      </w:r>
      <w:r>
        <w:rPr>
          <w:rFonts w:hint="eastAsia" w:ascii="宋体" w:hAnsi="宋体" w:eastAsia="宋体" w:cs="宋体"/>
          <w:color w:val="auto"/>
          <w:highlight w:val="none"/>
          <w:lang w:eastAsia="zh-CN"/>
        </w:rPr>
        <w:t xml:space="preserve">提供对应的《中小企业声明函》或《残疾人福利性单位声明函》或省级以上监狱管理局、戒毒管理局（含新疆生产建设兵团）出具的属于监狱企业的证明文件。</w:t>
      </w:r>
      <w:r/>
    </w:p>
    <w:p>
      <w:pPr>
        <w:pStyle w:val="962"/>
        <w:jc w:val="both"/>
        <w:spacing w:line="360" w:lineRule="auto"/>
        <w:tabs>
          <w:tab w:val="left" w:pos="0" w:leader="none"/>
        </w:tabs>
        <w:rPr>
          <w:rFonts w:ascii="宋体" w:hAnsi="宋体" w:eastAsia="宋体" w:cs="宋体"/>
          <w:bCs/>
          <w:color w:val="auto"/>
          <w:szCs w:val="24"/>
          <w:highlight w:val="none"/>
        </w:rPr>
      </w:pPr>
      <w:r>
        <w:rPr>
          <w:rFonts w:hint="eastAsia" w:ascii="宋体" w:hAnsi="宋体" w:eastAsia="宋体" w:cs="宋体"/>
          <w:bCs/>
          <w:color w:val="auto"/>
          <w:szCs w:val="24"/>
          <w:highlight w:val="none"/>
        </w:rPr>
        <w:t xml:space="preserve">注：</w:t>
      </w:r>
      <w:r>
        <w:rPr>
          <w:rFonts w:hint="eastAsia" w:ascii="宋体" w:hAnsi="宋体" w:eastAsia="宋体" w:cs="宋体"/>
          <w:b/>
          <w:color w:val="auto"/>
          <w:szCs w:val="24"/>
          <w:highlight w:val="none"/>
        </w:rPr>
        <w:t xml:space="preserve">（1）投标人应完整提交上述资料，</w:t>
      </w:r>
      <w:r>
        <w:rPr>
          <w:rFonts w:hint="eastAsia" w:ascii="宋体" w:hAnsi="宋体" w:eastAsia="宋体"/>
          <w:b/>
          <w:color w:val="auto"/>
          <w:szCs w:val="24"/>
          <w:highlight w:val="none"/>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color w:val="auto"/>
          <w:szCs w:val="24"/>
          <w:highlight w:val="none"/>
        </w:rPr>
        <w:t xml:space="preserve">否则，投标文件将可能因资格性条件不符或符合性审查不符而判定为无效标；</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 投标文件编制要求</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15.1</w:t>
      </w:r>
      <w:bookmarkStart w:id="9" w:name="_Hlk140247794"/>
      <w:r>
        <w:rPr>
          <w:rFonts w:hint="eastAsia" w:ascii="宋体" w:hAnsi="宋体" w:eastAsia="宋体" w:cs="宋体"/>
          <w:color w:val="auto"/>
          <w:szCs w:val="24"/>
          <w:highlight w:val="none"/>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15.2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投标人自行承担。</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投标文件未按照招标文件要求加盖CA电子公章的，投标无效。</w:t>
      </w:r>
      <w:r/>
    </w:p>
    <w:p>
      <w:pPr>
        <w:pStyle w:val="962"/>
        <w:ind w:firstLine="480"/>
        <w:jc w:val="both"/>
        <w:spacing w:line="360" w:lineRule="auto"/>
        <w:rPr>
          <w:rFonts w:ascii="宋体" w:hAnsi="宋体" w:eastAsia="宋体" w:cs="宋体"/>
          <w:color w:val="auto"/>
          <w:szCs w:val="24"/>
          <w:highlight w:val="none"/>
        </w:rPr>
      </w:pPr>
      <w:r/>
      <w:bookmarkStart w:id="10" w:name="_Hlk158134955"/>
      <w:r>
        <w:rPr>
          <w:rFonts w:hint="eastAsia" w:ascii="宋体" w:hAnsi="宋体" w:eastAsia="宋体" w:cs="宋体"/>
          <w:color w:val="auto"/>
          <w:szCs w:val="24"/>
          <w:highlight w:val="none"/>
        </w:rPr>
        <w:t xml:space="preserve">联合体投标：如招标（采购）公告中允许联合体投标，联合体投标的投标（响应）文件制作上传操作如下：</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第一步：在投标（响应）文件中上传联合体投标协议书。</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第二步；在投标（响应）文件中，由联合体中的牵头人制作投标（响应）文件。</w:t>
      </w:r>
      <w:bookmarkEnd w:id="10"/>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如投标（响应）文件制作机器码信息一致，视为不同供应商使用同一台电脑编制投标（响应）文件，投标（响应）无效。</w:t>
      </w:r>
      <w:bookmarkEnd w:id="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15.3《开标一览表》为在开标仪式上唱标的内容，要求按格式填写，统一规范，不得自行增减内容。</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 投标报价（编制）要求的说明</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16.1除非合同中另有规定，投标人对《开标一览表》的报价应包含完成全部服务内容所需的人工费用、税费、利润、其它临时性杂项应急服务费用、劳保与培训、政策性文件规定及合同包含的所有风险、责任等服务过程中所需的全部费用。同时，除非合同条款中另有规定，否则，供应商所报价格在合同实施期间不因市场因素变化而变动。</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16.2投标人应对招标文件内所要采购的全部内容进行报价，只投其中部分内容者，其标书将被拒绝。</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16.3一项投标内容只允许一个报价，招标采购单位不接受任何有选择性的投标报价。</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16.4投标文件报价中的单价和总价全部采用人民币表示，除非合同的特殊条款另有规定。</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16.5</w:t>
      </w:r>
      <w:r>
        <w:rPr>
          <w:rFonts w:hint="eastAsia" w:ascii="宋体" w:hAnsi="宋体" w:eastAsia="宋体" w:cs="宋体"/>
          <w:bCs/>
          <w:color w:val="auto"/>
          <w:szCs w:val="24"/>
          <w:highlight w:val="none"/>
        </w:rPr>
        <w:t xml:space="preserve">最低报价不能作为中标的保证</w:t>
      </w:r>
      <w:r>
        <w:rPr>
          <w:rFonts w:hint="eastAsia" w:ascii="宋体" w:hAnsi="宋体" w:eastAsia="宋体" w:cs="宋体"/>
          <w:color w:val="auto"/>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 投标保证金</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本项目不提交，文件内关于投标保证金的相关规定均不适用。</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 投标文件的有效期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18.1在本招标文件前附表规定的投标文件有效期内，投标人所提交的投标文件应保持有效。有效期短于这个规定期限的投标文件，将被认定为未实质性响应招标文件要求。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 投标文件的递交</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19. 投标截止时间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19.1电子投标文件上传截止时间之前对投标文件进行加密并上传，否则视为放弃参加该采购项目。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19.2招标采购单位推迟投标截止时间时，应以书面形式通知所有投标人。在这种情况下，招标采购单位和投标人的权利和义务将受到新的截止期的约束。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19.3在投标截止时间以后送达的投标文件，招标采购单位拒绝接收。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19.4在投标截止时间止招标采购单位收到该项目的投标文件少于三份，招标采购单位有权宣布该项目本次招标失败。</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 投标文件的修改和撤回</w:t>
      </w:r>
      <w:r/>
    </w:p>
    <w:p>
      <w:pPr>
        <w:ind w:firstLine="50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投标人在提交投标文件后可对其投标文件进行修改或撤回，但须在投标截止时间之前。</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六、开标和评标</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 开标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21.1开标由招标人或者招标代理机构主持，投标人参加。评标委员会成员不得参加开标活动。</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bookmarkStart w:id="11" w:name="_Hlk90652960"/>
      <w:r>
        <w:rPr>
          <w:rFonts w:hint="eastAsia" w:ascii="宋体" w:hAnsi="宋体" w:eastAsia="宋体" w:cs="宋体"/>
          <w:color w:val="auto"/>
          <w:sz w:val="24"/>
          <w:szCs w:val="24"/>
          <w:highlight w:val="none"/>
        </w:rPr>
        <w:t xml:space="preserve">21.3线上参加（观看）开标（开启）会方式：登录“苏采云”系统，点击“开标大厅”，选择对应项目，点击进入不见面开标系统。</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开标时，投标人对开标过程和开标记录有疑义，以及认为招标人、招标代理机构相关工作人员有需要回避的情形的，应当场通过不见面开标系统的“留言板”栏目提出询问或者回避申请。招标人、招标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11"/>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bookmarkStart w:id="12" w:name="_Hlk158135485"/>
      <w:r>
        <w:rPr>
          <w:rFonts w:hint="eastAsia" w:ascii="宋体" w:hAnsi="宋体" w:eastAsia="宋体" w:cs="宋体"/>
          <w:color w:val="auto"/>
          <w:sz w:val="24"/>
          <w:szCs w:val="24"/>
          <w:highlight w:val="none"/>
        </w:rPr>
        <w:t xml:space="preserve">21.5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bookmarkEnd w:id="12"/>
      <w:r>
        <w:rPr>
          <w:rFonts w:hint="eastAsia" w:ascii="宋体" w:hAnsi="宋体" w:eastAsia="宋体" w:cs="宋体"/>
          <w:color w:val="auto"/>
          <w:sz w:val="24"/>
          <w:szCs w:val="24"/>
          <w:highlight w:val="none"/>
        </w:rPr>
        <w:t xml:space="preserve">。</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21.6投标人在“苏采云”系统规定的时间内未成功解密电子投标文件的，投标无效。</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21.7投标人电脑环境最低要求：谷歌浏览器，版本可直接网上下载最新版本即可。如需收听现场语音需配置放音设备，如视频直播、互动交流使用异常，请刷新网页，如仍无法解决，请联系技术支持。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21.8至投标文件提交截止时间，递交投标文件的投标人不足三家的，不得开标。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21.9投标人未参加开标的，视同认可开标结果。</w:t>
      </w:r>
      <w:r/>
    </w:p>
    <w:p>
      <w:pPr>
        <w:ind w:firstLine="482"/>
        <w:spacing w:line="360" w:lineRule="auto"/>
        <w:tabs>
          <w:tab w:val="center" w:pos="4479"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22.资格审查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22.1招标人或招标代理机构在开标后，评标前按照招标文件投标人须知第3款、第4款和第14款资格审查证明文件的规定对投标人的资格进行资格审查。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22.2未通过资格审查的投标人为无效投标人，招标人或招标代理机构将未通过资格审查的投标人名单和原因提交评标委员会，以便编制评标报告；通过资格审查的投标人将提交评标委员会进行符合性审查。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22.3招标人或招标代理机构现场告知未通过资格审查的投标人未通过的原因。</w:t>
      </w:r>
      <w:r/>
    </w:p>
    <w:p>
      <w:pPr>
        <w:ind w:firstLine="482"/>
        <w:spacing w:line="360" w:lineRule="auto"/>
        <w:tabs>
          <w:tab w:val="center" w:pos="4479"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23.评标工作的组织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招标人或者招标代理机构负责组织评标工作，并履行下列职责：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23.1核对评审专家身份和招标人代表授权函，对评审专家在政府采购活动中的职责履行情况予以记录，并及时将有关违法违规行为向财政部门报告；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23.2宣布评标纪律；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23.3公布投标人名单，告知评审专家应当回避的情形；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23.4组织评标委员会推选评标组长，招标人代表不得担任组长；</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23.5在评标期间采取必要的通讯管理措施，保证评标活动不受外界干扰；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23.6根据评标委员会的要求介绍政府采购相关政策法规、招标文件；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23.7维护评标秩序，监督评标委员会依照招标文件规定的评标程序、方法和标准进行独立评审，及时制止和纠正招标人代表、评审专家的倾向性言论或者违法违规行为；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23.10处理与评标有关的其他事项。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招标人可以在评标前说明项目背景和采购需求，说明内容不得含有歧视性、倾向性意见，不得超出招标文件所述范围。说明应当提交书面材料，并随招标文件一并存档。</w:t>
      </w:r>
      <w:r/>
    </w:p>
    <w:p>
      <w:pPr>
        <w:ind w:firstLine="482"/>
        <w:spacing w:line="360" w:lineRule="auto"/>
        <w:tabs>
          <w:tab w:val="center" w:pos="4479"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 评标委员会</w:t>
      </w:r>
      <w:r>
        <w:rPr>
          <w:rFonts w:hint="eastAsia" w:ascii="宋体" w:hAnsi="宋体" w:eastAsia="宋体" w:cs="宋体"/>
          <w:b/>
          <w:color w:val="auto"/>
          <w:sz w:val="24"/>
          <w:szCs w:val="24"/>
          <w:highlight w:val="none"/>
        </w:rPr>
        <w:tab/>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24.1评标委员会由招标采购单位依法组建，负责本项目的评标事务。</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24.2评标委员会独立履行下列职责：</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24.2.1审查、评价投标文件是否符合招标文件的商务、技术等实质性要求；</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24.2.2要求投标人对投标文件有关事项作出澄清或者说明；</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24.2.3对投标文件进行比较和评价；</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24.2.4确定中标候选人名单，以及根据招标人委托直接确定中标人；</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24.2.5向招标人、招标代理机构或者有关部门报告评标中发现的违法行为。</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24.3评标委员会成员应当履行下列义务：</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24.3.1遵纪守法，客观、公正、廉洁地履行职责；</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24.3.2按照招标文件规定的评标办法和评标标准进行评标，对评审意见承担个人责任；</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24.3.3对评标过程和结果，以及投标人的商业秘密保密；</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24.3.4参与评标报告的起草；</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24.3.5配合相关部门的投诉处理工作；</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24.3.6配合招标采购单位答复供应商提出的质疑。</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 评标内容的保密</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25.1公开开标后，直到宣布授予中标单位商合同为止，凡属于审查、澄清、评价和比较投标的所有资料，有关授予合同的信息都不应向投标人或与评标无关的其他人泄露。</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25.2 在投标文件的审查、澄清、评价和比较以及授予合同的过程中，投标人对招标采购单位和评标委员会成员施加影响的任何行为，都将取消其投标资格。</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25.3在评标期间，招标采购单位将通过指定联络人与投标人进行联系。</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26.符合性审查</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26.1评标委员会依据招标文件的规定对投标文件进行符合性审查。存在以下情形，符合性审查不合格：</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1）投标文件存在招标文件投标人须知第29款“无效投标”规定情形的；</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2）投标文件载明的有效期短于招标文件规定；</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3）投标文件载明的招标项目完成期限不满足招标文件规定；</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4）投标文件载明的履约保证、付款方式不满足招标文件规定；</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5）投标文件未按招标文件规定的格式填写或递交，内容不全或关键字迹模糊、无法辨认的，从而影响投标文件有效性；</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6）不同投标人的投标文件以及投标文件制作过程出现了评标委员会认为不应当雷同的情况的；</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7）不同投标人的投标文件存在“视为串通投标”的情形；</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8）投标人的报价存在选择性的；</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9）投标人的报价或响应只响应了项目中部分招标内容；</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10）投标人拒绝修正错误影响评标的；</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11）投标文件不符合招标文件规定的其他实质性条款；</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12）不同投标文件存在“机器码”一致情形；</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13）投标文件存在招标文件规定的其他无效投标情形的。</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26.2对于不允许偏离的实质性要求和条件，招标人或者招标代理机构应当在招标文件中规定，并以醒目的方式标明。</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26.3投标人不能通过修正或撤销不符之处而使其投标成为实质性响应的投标。</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27.投标澄清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firstLine="480"/>
        <w:spacing w:line="360" w:lineRule="auto"/>
        <w:rPr>
          <w:rFonts w:ascii="宋体" w:hAnsi="宋体" w:eastAsia="宋体" w:cs="宋体"/>
          <w:color w:val="auto"/>
          <w:sz w:val="24"/>
          <w:szCs w:val="24"/>
          <w:highlight w:val="none"/>
        </w:rPr>
      </w:pPr>
      <w:r/>
      <w:bookmarkStart w:id="13" w:name="_Hlk158140503"/>
      <w:r/>
      <w:bookmarkStart w:id="14" w:name="_Hlk158140452"/>
      <w:r/>
      <w:bookmarkStart w:id="15" w:name="_Hlk90656398"/>
      <w:r>
        <w:rPr>
          <w:rFonts w:hint="eastAsia" w:ascii="宋体" w:hAnsi="宋体" w:eastAsia="宋体" w:cs="宋体"/>
          <w:color w:val="auto"/>
          <w:sz w:val="24"/>
          <w:szCs w:val="24"/>
          <w:highlight w:val="none"/>
        </w:rPr>
        <w:t xml:space="preserve">本项目采用线上澄清</w:t>
      </w:r>
      <w:bookmarkEnd w:id="13"/>
      <w:r>
        <w:rPr>
          <w:rFonts w:hint="eastAsia" w:ascii="宋体" w:hAnsi="宋体" w:eastAsia="宋体" w:cs="宋体"/>
          <w:color w:val="auto"/>
          <w:sz w:val="24"/>
          <w:szCs w:val="24"/>
          <w:highlight w:val="none"/>
        </w:rPr>
        <w:t xml:space="preserve">。</w:t>
      </w:r>
      <w:bookmarkEnd w:id="14"/>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澄清答复的方式：需要供应商进行澄清、说明和更正的，招标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接到评标委员会澄清、说明和更正要求的投标人如未按规定做出澄清、说明和更正，其风险由投标人自行承担。</w:t>
      </w:r>
      <w:bookmarkEnd w:id="15"/>
      <w:r/>
      <w:r/>
    </w:p>
    <w:p>
      <w:pPr>
        <w:pStyle w:val="962"/>
        <w:ind w:firstLine="482"/>
        <w:jc w:val="both"/>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28.投标报价评审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28.1投标文件报价出现前后不一致的，除招标文件另有规定外，按照下列规定修正：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28.1.2大写金额和小写金额不一致的，以大写金额为准；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28.1.3单价金额小数点或者百分比有明显错位的，以开标一览表的总价为准，并修改单价；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28.1.4总价金额与按单价汇总金额不一致的，以单价金额计算结果为准。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应当将其作为无效投标处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价格分应当采用低价优先法计算，即满足招标文件要求且投标价格最低的投标报价为评标基准价，其价格分为满分。其他投标人的价格分统一按照下列公式计算：投标报价得分=(评标基准价／投标报价)×100×价格权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29.无效投标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投标人存在下列情况之一的，投标无效: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29.1投标文件未按招标文件要求签署、签章的；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29.2不具备招标文件中规定的资格要求的；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29.3报价超过招标文件中规定的最高限价的；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29.4投标文件含有招标人不能接受的附加条件的；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29.5法律、法规和招标文件规定的其他无效情形。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w:t>
      </w:r>
      <w:r>
        <w:rPr>
          <w:rFonts w:hint="eastAsia" w:ascii="宋体" w:hAnsi="宋体" w:eastAsia="宋体" w:cs="宋体"/>
          <w:color w:val="auto"/>
          <w:sz w:val="24"/>
          <w:szCs w:val="24"/>
          <w:highlight w:val="none"/>
          <w:lang w:val="zh-CN"/>
        </w:rPr>
        <w:t xml:space="preserve">投标人未对电子投标文件进行解密或解密失败的。</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30.废标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在招标采购中，出现下列情形之一的，该项目应予废标：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30.1.1该项目符合专业条件的供应商或者对招标文件作实质响应的供应商不足三家的；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30.1.2出现影响采购公正的违法、违规行为的；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30.1.3投标人的报价均超过了最高限价，招标人不能支付的；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30.1.4因重大变故，采购任务取消的。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废标后，招标人应当将废标理由通知所有投标人。</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31. 投标文件的评价和比较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31.2评价和比较采用的办法：综合评分法，具体内容详见招标文件第六章。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最低的投标报价或最高的折扣比例是中标的重要条件，但不是唯一条件。</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七、授予合同</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32. 中标单位商的确认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32.1评标委员会按招标文件规定的评标方法和标准进行详细评审后，按招标采购单位的委托向招标采购单位推荐中标候选单位。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招标代理机构应当在评标结束后2个工作日内将评标报告送招标人。招标人应当自收到评标报告之日起5个工作日内，在评标报告确定的中标候选人名单中按顺序确定中标人。中标候选人并列的，由招标人自主确定中标人。招标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rPr>
          <w:rFonts w:hint="eastAsia" w:ascii="宋体" w:hAnsi="宋体" w:eastAsia="宋体" w:cs="宋体"/>
          <w:b/>
          <w:bCs/>
          <w:color w:val="auto"/>
          <w:sz w:val="24"/>
          <w:szCs w:val="24"/>
          <w:highlight w:val="none"/>
        </w:rPr>
        <w:t xml:space="preserve">本项目中标单位商数量：1</w:t>
      </w:r>
      <w:r>
        <w:rPr>
          <w:rFonts w:hint="eastAsia" w:ascii="宋体" w:hAnsi="宋体" w:eastAsia="宋体" w:cs="宋体"/>
          <w:b/>
          <w:bCs/>
          <w:color w:val="auto"/>
          <w:sz w:val="24"/>
          <w:szCs w:val="24"/>
          <w:highlight w:val="none"/>
          <w:lang w:val="en-US" w:eastAsia="zh-CN"/>
        </w:rPr>
        <w:t xml:space="preserve">家</w:t>
      </w:r>
      <w:r>
        <w:rPr>
          <w:rFonts w:hint="eastAsia" w:ascii="宋体" w:hAnsi="宋体" w:eastAsia="宋体" w:cs="宋体"/>
          <w:b/>
          <w:bCs/>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32.4招标人或者招标代理机构自中标人确定之日起2个工作日内在省级以上财政部门指定的媒体上公告中标结果。中标公告期限为1个工作日。</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33. 合同授予标准</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33.1招标采购单位将把合同授予其投标文件在实质上响应招标文件要求和按本须知规定评选出的投标人。确定为中标的投标人必须具有实施本合同的能力和资源。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政府采购合同履行中，招标人需追加与合同标的物相同的货物、工程或者服务的，在不改变合同其他条款的前提下，可以与中标单位商签订补充合同，但所有补充合同的采购金额不得超过原合同采购金额的百分之十。</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 中标通知书</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34.1在公告中标结果的同时，招标人或者招标代理机构应当向中标人发出中标通知书，中标通知书对招标人和中标单位商具有同等法律效力。中标通知书发出后，招标人不得违法改变中标结果，中标人无正当理由不得放弃中标，否则应当承担相应的法律责任。</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34.2中标通知书将成为合同的组成部分。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35.告知招标结果</w:t>
      </w:r>
      <w:r/>
    </w:p>
    <w:p>
      <w:pPr>
        <w:pStyle w:val="962"/>
        <w:ind w:firstLine="480"/>
        <w:jc w:val="both"/>
        <w:spacing w:line="360" w:lineRule="auto"/>
        <w:rPr>
          <w:rFonts w:ascii="宋体" w:hAnsi="宋体" w:eastAsia="宋体" w:cs="宋体"/>
          <w:color w:val="auto"/>
          <w:szCs w:val="24"/>
          <w:highlight w:val="none"/>
          <w:lang w:val="zh-CN"/>
        </w:rPr>
      </w:pPr>
      <w:r>
        <w:rPr>
          <w:rFonts w:hint="eastAsia" w:ascii="宋体" w:hAnsi="宋体" w:eastAsia="宋体" w:cs="宋体"/>
          <w:color w:val="auto"/>
          <w:szCs w:val="24"/>
          <w:highlight w:val="none"/>
        </w:rPr>
        <w:t xml:space="preserve">35</w:t>
      </w:r>
      <w:r>
        <w:rPr>
          <w:rFonts w:hint="eastAsia" w:ascii="宋体" w:hAnsi="宋体" w:eastAsia="宋体" w:cs="宋体"/>
          <w:color w:val="auto"/>
          <w:szCs w:val="24"/>
          <w:highlight w:val="none"/>
          <w:lang w:val="zh-CN"/>
        </w:rPr>
        <w:t xml:space="preserve">.1 对未通过资格审查的投标人，告知其未通过的原因。</w:t>
      </w:r>
      <w:r/>
    </w:p>
    <w:p>
      <w:pPr>
        <w:pStyle w:val="962"/>
        <w:ind w:firstLine="480"/>
        <w:jc w:val="both"/>
        <w:spacing w:line="360" w:lineRule="auto"/>
        <w:rPr>
          <w:rFonts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35.2 采购单位或其委托的代理机构根据相关规定发布</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公告，</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公告发出的同时应当向</w:t>
      </w:r>
      <w:r>
        <w:rPr>
          <w:rFonts w:hint="eastAsia" w:ascii="宋体" w:hAnsi="宋体" w:eastAsia="宋体" w:cs="宋体"/>
          <w:color w:val="auto"/>
          <w:szCs w:val="24"/>
          <w:highlight w:val="none"/>
        </w:rPr>
        <w:t xml:space="preserve">中标单位</w:t>
      </w:r>
      <w:r>
        <w:rPr>
          <w:rFonts w:hint="eastAsia" w:ascii="宋体" w:hAnsi="宋体" w:eastAsia="宋体" w:cs="宋体"/>
          <w:color w:val="auto"/>
          <w:szCs w:val="24"/>
          <w:highlight w:val="none"/>
          <w:lang w:val="zh-CN"/>
        </w:rPr>
        <w:t xml:space="preserve">商发出《</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通知书》，请</w:t>
      </w:r>
      <w:r>
        <w:rPr>
          <w:rFonts w:hint="eastAsia" w:ascii="宋体" w:hAnsi="宋体" w:eastAsia="宋体" w:cs="宋体"/>
          <w:color w:val="auto"/>
          <w:szCs w:val="24"/>
          <w:highlight w:val="none"/>
        </w:rPr>
        <w:t xml:space="preserve">中标单位</w:t>
      </w:r>
      <w:r>
        <w:rPr>
          <w:rFonts w:hint="eastAsia" w:ascii="宋体" w:hAnsi="宋体" w:eastAsia="宋体" w:cs="宋体"/>
          <w:color w:val="auto"/>
          <w:szCs w:val="24"/>
          <w:highlight w:val="none"/>
          <w:lang w:val="zh-CN"/>
        </w:rPr>
        <w:t xml:space="preserve">商在</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结果公告届满之日起30日内,使用CA数字证书登录“苏采云”系统及时下载</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通知书。因系统存储空间有限，自</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结果公告届满之日起30日后，“苏采云”系统不再保证提供下载</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通知书服务,因未及时下载而造成的不利后果由</w:t>
      </w:r>
      <w:r>
        <w:rPr>
          <w:rFonts w:hint="eastAsia" w:ascii="宋体" w:hAnsi="宋体" w:eastAsia="宋体" w:cs="宋体"/>
          <w:color w:val="auto"/>
          <w:szCs w:val="24"/>
          <w:highlight w:val="none"/>
        </w:rPr>
        <w:t xml:space="preserve">中标单位</w:t>
      </w:r>
      <w:r>
        <w:rPr>
          <w:rFonts w:hint="eastAsia" w:ascii="宋体" w:hAnsi="宋体" w:eastAsia="宋体" w:cs="宋体"/>
          <w:color w:val="auto"/>
          <w:szCs w:val="24"/>
          <w:highlight w:val="none"/>
          <w:lang w:val="zh-CN"/>
        </w:rPr>
        <w:t xml:space="preserve">商自行承担）；对未通过资格审查的供应商，应当告知其未通过的原因；未</w:t>
      </w:r>
      <w:r>
        <w:rPr>
          <w:rFonts w:hint="eastAsia" w:ascii="宋体" w:hAnsi="宋体" w:eastAsia="宋体" w:cs="宋体"/>
          <w:color w:val="auto"/>
          <w:szCs w:val="24"/>
          <w:highlight w:val="none"/>
        </w:rPr>
        <w:t xml:space="preserve">中标单位</w:t>
      </w:r>
      <w:r>
        <w:rPr>
          <w:rFonts w:hint="eastAsia" w:ascii="宋体" w:hAnsi="宋体" w:eastAsia="宋体" w:cs="宋体"/>
          <w:color w:val="auto"/>
          <w:szCs w:val="24"/>
          <w:highlight w:val="none"/>
          <w:lang w:val="zh-CN"/>
        </w:rPr>
        <w:t xml:space="preserve">商须在</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公告发出之日起2个工作日内向招标代理机构另行提供用以接收《未</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通知书》的电子邮件地址，未按时提供电子邮件地址或提供信息有误的，视为自动放弃并自行承担相应后果。</w:t>
      </w:r>
      <w:r/>
    </w:p>
    <w:p>
      <w:pPr>
        <w:ind w:firstLine="482"/>
        <w:spacing w:line="360" w:lineRule="auto"/>
        <w:rPr>
          <w:rFonts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36.履约保证金</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详见前附表。</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37. 合同的签订</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37.1招标人应当自中标通知书发出之日起15日内，按照招标文件和中标人投标文件的规定，与中标人签订书面合同。所签订的合同不得对招标文件确定的事项和中标人投标文件作实质性修改。</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37.2签订合同及合同条款应以招标文件和中标单位商的投标文件及其澄清文件为依据。</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八、其他事项</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38. 招标代理服务费</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38.1中标单位商须按前附表的规定，按其预算总金额计算并支付招标代理服务费，该费用应在领取中标通知书时付清。</w:t>
      </w:r>
      <w:r/>
    </w:p>
    <w:p>
      <w:pPr>
        <w:pStyle w:val="962"/>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38.2中标单位商如果未按规定支付招标代理服务费，招标采购单位将不予退还其投标保证金，并保留诉讼的权利。</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39. 监督和公证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39.1政府有关监督部门将对招投标全过程进行监督。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39.2招标人的开标、评标过程将通过公证机关进行公证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40. 未尽事宜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40.1按《中华人民共和国政府采购法》</w:t>
      </w:r>
      <w:r>
        <w:rPr>
          <w:rStyle w:val="1002"/>
          <w:rFonts w:hint="eastAsia" w:ascii="宋体" w:hAnsi="宋体" w:eastAsia="宋体" w:cs="宋体"/>
          <w:color w:val="auto"/>
          <w:highlight w:val="none"/>
        </w:rPr>
        <w:t xml:space="preserve">、</w:t>
      </w:r>
      <w:r>
        <w:rPr>
          <w:rFonts w:hint="eastAsia" w:ascii="宋体" w:hAnsi="宋体" w:eastAsia="宋体" w:cs="宋体"/>
          <w:color w:val="auto"/>
          <w:sz w:val="24"/>
          <w:szCs w:val="24"/>
          <w:highlight w:val="none"/>
        </w:rPr>
        <w:t xml:space="preserve">《中华人民共和国政府采购法实施条例》及《政府采购货物和服务招标投标管理办法》执行。</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41、政府采购政策</w:t>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41.1促进中小企业发展</w:t>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1、中小微型企业的认定：</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及《关于做好政府采购支持企业发展有关事项的通知》（苏财购〔2020〕52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视为非实质性响应采购文件。</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p>
    <w:p>
      <w:pPr>
        <w:ind w:firstLine="480"/>
        <w:jc w:val="left"/>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color w:val="auto"/>
          <w:sz w:val="24"/>
          <w:szCs w:val="24"/>
          <w:highlight w:val="none"/>
          <w:u w:val="single"/>
        </w:rPr>
        <w:t xml:space="preserve">其他未列明行业。</w:t>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41.2促进残疾人就业和支持监狱企业发展有关政策：</w:t>
      </w:r>
      <w:r/>
    </w:p>
    <w:p>
      <w:pPr>
        <w:pStyle w:val="1040"/>
        <w:jc w:val="left"/>
        <w:spacing w:after="46"/>
        <w:rPr>
          <w:rFonts w:hint="eastAsia" w:cs="宋体"/>
          <w:color w:val="auto"/>
          <w:highlight w:val="none"/>
        </w:rPr>
      </w:pPr>
      <w:r>
        <w:rPr>
          <w:rFonts w:hint="eastAsia" w:cs="宋体"/>
          <w:color w:val="auto"/>
          <w:highlight w:val="none"/>
          <w:lang w:val="en-US" w:eastAsia="zh-CN"/>
        </w:rPr>
        <w:t xml:space="preserve">41.2.1</w:t>
      </w:r>
      <w:r>
        <w:rPr>
          <w:rFonts w:hint="eastAsia" w:cs="宋体"/>
          <w:color w:val="auto"/>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rPr>
          <w:rFonts w:hint="eastAsia" w:cs="宋体"/>
          <w:color w:val="auto"/>
          <w:highlight w:val="none"/>
          <w:lang w:eastAsia="zh-CN"/>
        </w:rPr>
        <w:t xml:space="preserve">，</w:t>
      </w:r>
      <w:r>
        <w:rPr>
          <w:rFonts w:cs="宋体"/>
          <w:color w:val="auto"/>
          <w:highlight w:val="none"/>
        </w:rPr>
        <w:t xml:space="preserve">未提交则视为</w:t>
      </w:r>
      <w:r>
        <w:rPr>
          <w:rFonts w:cs="宋体"/>
          <w:b/>
          <w:bCs/>
          <w:color w:val="auto"/>
          <w:highlight w:val="none"/>
        </w:rPr>
        <w:t xml:space="preserve">非实质性</w:t>
      </w:r>
      <w:r>
        <w:rPr>
          <w:rFonts w:cs="宋体"/>
          <w:color w:val="auto"/>
          <w:highlight w:val="none"/>
        </w:rPr>
        <w:t xml:space="preserve">响应采购文件。</w:t>
      </w:r>
      <w:r/>
    </w:p>
    <w:p>
      <w:pPr>
        <w:pStyle w:val="1040"/>
        <w:jc w:val="left"/>
        <w:spacing w:after="46"/>
        <w:rPr>
          <w:rFonts w:cs="宋体"/>
          <w:color w:val="auto"/>
          <w:highlight w:val="none"/>
        </w:rPr>
      </w:pPr>
      <w:r>
        <w:rPr>
          <w:rFonts w:hint="eastAsia" w:cs="宋体"/>
          <w:color w:val="auto"/>
          <w:highlight w:val="none"/>
          <w:lang w:val="en-US" w:eastAsia="zh-CN"/>
        </w:rPr>
        <w:t xml:space="preserve">41.2.2</w:t>
      </w:r>
      <w:r>
        <w:rPr>
          <w:rFonts w:hint="eastAsia" w:cs="宋体"/>
          <w:color w:val="auto"/>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rPr>
          <w:rFonts w:hint="eastAsia" w:cs="宋体"/>
          <w:color w:val="auto"/>
          <w:highlight w:val="none"/>
          <w:lang w:eastAsia="zh-CN"/>
        </w:rPr>
        <w:t xml:space="preserve">，</w:t>
      </w:r>
      <w:r>
        <w:rPr>
          <w:rFonts w:cs="宋体"/>
          <w:color w:val="auto"/>
          <w:highlight w:val="none"/>
        </w:rPr>
        <w:t xml:space="preserve">未提交则视为</w:t>
      </w:r>
      <w:r>
        <w:rPr>
          <w:rFonts w:cs="宋体"/>
          <w:b/>
          <w:bCs/>
          <w:color w:val="auto"/>
          <w:highlight w:val="none"/>
        </w:rPr>
        <w:t xml:space="preserve">非实质性</w:t>
      </w:r>
      <w:r>
        <w:rPr>
          <w:rFonts w:cs="宋体"/>
          <w:color w:val="auto"/>
          <w:highlight w:val="none"/>
        </w:rPr>
        <w:t xml:space="preserve">响应采购文件。</w:t>
      </w:r>
      <w:r/>
    </w:p>
    <w:p>
      <w:pPr>
        <w:pStyle w:val="1040"/>
        <w:ind w:firstLine="482"/>
        <w:jc w:val="left"/>
        <w:spacing w:after="53"/>
        <w:rPr>
          <w:rFonts w:cs="宋体"/>
          <w:b/>
          <w:bCs/>
          <w:color w:val="auto"/>
          <w:highlight w:val="none"/>
        </w:rPr>
      </w:pPr>
      <w:r>
        <w:rPr>
          <w:rFonts w:hint="eastAsia" w:cs="宋体"/>
          <w:b/>
          <w:bCs/>
          <w:color w:val="auto"/>
          <w:highlight w:val="none"/>
        </w:rPr>
        <w:t xml:space="preserve">41.3信用记录</w:t>
      </w:r>
      <w:r/>
    </w:p>
    <w:p>
      <w:pPr>
        <w:pStyle w:val="1040"/>
        <w:jc w:val="left"/>
        <w:spacing w:after="53"/>
        <w:rPr>
          <w:rFonts w:cs="宋体"/>
          <w:color w:val="auto"/>
          <w:highlight w:val="none"/>
        </w:rPr>
      </w:pPr>
      <w:r>
        <w:rPr>
          <w:rFonts w:hint="eastAsia" w:cs="宋体"/>
          <w:color w:val="auto"/>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pStyle w:val="1040"/>
        <w:jc w:val="left"/>
        <w:spacing w:after="53"/>
        <w:rPr>
          <w:rFonts w:cs="宋体"/>
          <w:color w:val="auto"/>
          <w:highlight w:val="none"/>
        </w:rPr>
      </w:pPr>
      <w:r>
        <w:rPr>
          <w:rFonts w:hint="eastAsia" w:cs="宋体"/>
          <w:color w:val="auto"/>
          <w:highlight w:val="none"/>
        </w:rPr>
        <w:t xml:space="preserve">1、查询截止时点：投标文件递交截止时间。</w:t>
      </w:r>
      <w:r/>
    </w:p>
    <w:p>
      <w:pPr>
        <w:pStyle w:val="1040"/>
        <w:jc w:val="left"/>
        <w:spacing w:after="53"/>
        <w:rPr>
          <w:rFonts w:cs="宋体"/>
          <w:color w:val="auto"/>
          <w:highlight w:val="none"/>
        </w:rPr>
      </w:pPr>
      <w:r>
        <w:rPr>
          <w:rFonts w:hint="eastAsia" w:cs="宋体"/>
          <w:color w:val="auto"/>
          <w:highlight w:val="none"/>
        </w:rPr>
        <w:t xml:space="preserve">2、查询渠道：</w:t>
      </w:r>
      <w:r/>
    </w:p>
    <w:p>
      <w:pPr>
        <w:pStyle w:val="1040"/>
        <w:jc w:val="left"/>
        <w:spacing w:after="53"/>
        <w:rPr>
          <w:rFonts w:cs="宋体"/>
          <w:color w:val="auto"/>
          <w:highlight w:val="none"/>
        </w:rPr>
      </w:pPr>
      <w:r>
        <w:rPr>
          <w:rFonts w:hint="eastAsia" w:cs="宋体"/>
          <w:color w:val="auto"/>
          <w:highlight w:val="none"/>
        </w:rPr>
        <w:t xml:space="preserve">将通过苏采云系统跳转查询实现,一是</w:t>
      </w:r>
      <w:r>
        <w:rPr>
          <w:rFonts w:hint="eastAsia" w:cs="宋体"/>
          <w:color w:val="auto"/>
          <w:highlight w:val="none"/>
          <w:lang w:eastAsia="zh-CN"/>
        </w:rPr>
        <w:t xml:space="preserve">：</w:t>
      </w:r>
      <w:r>
        <w:rPr>
          <w:rFonts w:hint="eastAsia" w:cs="宋体"/>
          <w:color w:val="auto"/>
          <w:highlight w:val="none"/>
        </w:rPr>
        <w:t xml:space="preserve">信用中国涉及政府采购数据无缝对接查询,在评标过程中,在线实时获取并生成各供应商的信用情况,对于失信供应商将展现‘其处罚行为信息,招标人(代理机构)、评审专家等即可根据获取信息进行评审；二是“交易管理平台”与中国政府采购网相对接,实现自动跳转至“中国政府采购失信行为信息记录”查询页面,招标人(代理机构)、评审专家等进一步审核各供应商的信用情况。</w:t>
      </w:r>
      <w:r/>
    </w:p>
    <w:p>
      <w:pPr>
        <w:pStyle w:val="1040"/>
        <w:jc w:val="left"/>
        <w:spacing w:after="53"/>
        <w:rPr>
          <w:rFonts w:cs="宋体"/>
          <w:color w:val="auto"/>
          <w:highlight w:val="none"/>
        </w:rPr>
      </w:pPr>
      <w:r>
        <w:rPr>
          <w:rFonts w:hint="eastAsia" w:cs="宋体"/>
          <w:color w:val="auto"/>
          <w:highlight w:val="none"/>
        </w:rPr>
        <w:t xml:space="preserve">3、查询证据留存方式：</w:t>
      </w:r>
      <w:r/>
    </w:p>
    <w:p>
      <w:pPr>
        <w:pStyle w:val="1040"/>
        <w:jc w:val="left"/>
        <w:spacing w:after="53"/>
        <w:rPr>
          <w:rFonts w:cs="宋体"/>
          <w:color w:val="auto"/>
          <w:highlight w:val="none"/>
        </w:rPr>
      </w:pPr>
      <w:r>
        <w:rPr>
          <w:rFonts w:hint="eastAsia" w:cs="宋体"/>
          <w:color w:val="auto"/>
          <w:highlight w:val="none"/>
        </w:rPr>
        <w:t xml:space="preserve">对存在失信信息的供应商，评审小组应填写《苏州市级政府采购供应商失信信息确认函》，由失信供应商应签名确认。同时，招标代理机构工作人员应根据评审小组确认的失信信息，登陆到来源网站页面进行复核并打印，作为证据留存。</w:t>
      </w:r>
      <w:r/>
    </w:p>
    <w:p>
      <w:pPr>
        <w:pStyle w:val="1040"/>
        <w:jc w:val="left"/>
        <w:spacing w:after="53"/>
        <w:rPr>
          <w:rFonts w:cs="宋体"/>
          <w:color w:val="auto"/>
          <w:highlight w:val="none"/>
        </w:rPr>
      </w:pPr>
      <w:r>
        <w:rPr>
          <w:rFonts w:hint="eastAsia" w:cs="宋体"/>
          <w:color w:val="auto"/>
          <w:highlight w:val="none"/>
        </w:rPr>
        <w:t xml:space="preserve">4、信用记录使用规则：</w:t>
      </w:r>
      <w:r/>
    </w:p>
    <w:p>
      <w:pPr>
        <w:pStyle w:val="1040"/>
        <w:jc w:val="left"/>
        <w:spacing w:after="53"/>
        <w:rPr>
          <w:rFonts w:cs="宋体"/>
          <w:color w:val="auto"/>
          <w:highlight w:val="none"/>
        </w:rPr>
      </w:pPr>
      <w:r>
        <w:rPr>
          <w:rFonts w:hint="eastAsia" w:cs="宋体"/>
          <w:color w:val="auto"/>
          <w:highlight w:val="none"/>
        </w:rPr>
        <w:t xml:space="preserve">评审小组在对供应商进行资格性审查时，应根据查询结果对供应商的不良信用记录逐项甄别确认。</w:t>
      </w:r>
      <w:r/>
    </w:p>
    <w:p>
      <w:pPr>
        <w:ind w:firstLine="482"/>
        <w:jc w:val="left"/>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41.4、招标文件的质疑、澄清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41.4.1 根据《政府采购质疑和投诉办法》财政部第94号令，供应商认为招标文件、采购过程、中标结果使自己的权益受到损害的，可以在知道或者应知其权益受到损害之日起7个工作日内，以书面形式向招标人、招标代理机构提出质疑。</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41.4.2本次招标文件要求供应商在法定质疑期内一次性提出针对同一采购程序环节的质疑。</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41.4.3招标人、招标代理机构收到质疑供应商在法定质疑期内发出的质疑函，应当在收到质疑函后7个工作日内作出答复，并以书面形式通知质疑供应商和其他有关供应商。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41.4.4供应商提出质疑应当提交质疑函、报名确认单和必要的证明材料。质疑函应当包括下列内容：</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41.4.5供应商的姓名或者名称、地址、邮编、联系人及联系电话；</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41.4.6质疑项目的名称、编号；</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41.4.7具体、明确的质疑事项和与质疑事项相关的请求；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41.4.8事实依据；</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41.4.9必要的法律依据；</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41.4.10提出质疑的日期。</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41.4.11质疑联系方式详见采购公告。</w:t>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42.未尽事宜</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42.1按《中华人民共和国政府采购法》及其他有关法律法规的规定执行。</w:t>
      </w:r>
      <w:r/>
    </w:p>
    <w:p>
      <w:pPr>
        <w:pStyle w:val="982"/>
        <w:ind w:firstLine="482"/>
        <w:spacing w:line="360" w:lineRule="auto"/>
        <w:rPr>
          <w:rFonts w:ascii="宋体" w:hAnsi="宋体" w:eastAsia="宋体" w:cs="宋体"/>
          <w:color w:val="auto"/>
          <w:szCs w:val="24"/>
          <w:highlight w:val="none"/>
        </w:rPr>
      </w:pPr>
      <w:r>
        <w:rPr>
          <w:rFonts w:hint="eastAsia" w:ascii="宋体" w:hAnsi="宋体" w:eastAsia="宋体" w:cs="宋体"/>
          <w:b/>
          <w:bCs/>
          <w:color w:val="auto"/>
          <w:szCs w:val="24"/>
          <w:highlight w:val="none"/>
        </w:rPr>
        <w:t xml:space="preserve">43、</w:t>
      </w:r>
      <w:r>
        <w:rPr>
          <w:rFonts w:hint="eastAsia" w:ascii="宋体" w:hAnsi="宋体" w:eastAsia="宋体" w:cs="宋体"/>
          <w:color w:val="auto"/>
          <w:szCs w:val="24"/>
          <w:highlight w:val="none"/>
        </w:rPr>
        <w:t xml:space="preserve">凡涉及招标文件的补充说明和修改，均以苏州市政府采购网发布内容为准。</w:t>
      </w:r>
      <w:r/>
    </w:p>
    <w:p>
      <w:pPr>
        <w:rPr>
          <w:rFonts w:ascii="宋体" w:hAnsi="宋体" w:eastAsia="宋体" w:cs="宋体"/>
          <w:color w:val="auto"/>
          <w:highlight w:val="none"/>
        </w:rPr>
      </w:pPr>
      <w:r>
        <w:rPr>
          <w:rFonts w:ascii="宋体" w:hAnsi="宋体" w:eastAsia="宋体" w:cs="宋体"/>
          <w:color w:val="auto"/>
          <w:highlight w:val="none"/>
        </w:rPr>
      </w:r>
      <w:r/>
    </w:p>
    <w:p>
      <w:pPr>
        <w:pStyle w:val="956"/>
        <w:jc w:val="center"/>
        <w:rPr>
          <w:rFonts w:ascii="宋体" w:hAnsi="宋体" w:eastAsia="宋体" w:cs="宋体"/>
          <w:color w:val="auto"/>
          <w:highlight w:val="none"/>
        </w:rPr>
      </w:pPr>
      <w:r/>
      <w:bookmarkStart w:id="16" w:name="_Toc160701722"/>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第三章 投标文件格式</w:t>
      </w:r>
      <w:bookmarkEnd w:id="16"/>
      <w:r/>
      <w:r/>
    </w:p>
    <w:p>
      <w:pPr>
        <w:pStyle w:val="962"/>
        <w:ind w:firstLine="0"/>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说明：</w:t>
      </w:r>
      <w:r/>
    </w:p>
    <w:p>
      <w:pPr>
        <w:pStyle w:val="962"/>
        <w:ind w:firstLine="0"/>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    对本章所有的投标书格式 ，投标方可根据自身情况进行补充和修改，但补充和修改不得造成与本格式内容有实质性的违背。</w:t>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line="360" w:lineRule="auto"/>
        <w:rPr>
          <w:rFonts w:ascii="宋体" w:hAnsi="宋体" w:eastAsia="宋体" w:cs="宋体"/>
          <w:b/>
          <w:color w:val="auto"/>
          <w:sz w:val="30"/>
          <w:szCs w:val="30"/>
          <w:highlight w:val="none"/>
        </w:rPr>
      </w:pPr>
      <w:r>
        <w:rPr>
          <w:rFonts w:hint="eastAsia" w:ascii="宋体" w:hAnsi="宋体" w:eastAsia="宋体" w:cs="宋体"/>
          <w:color w:val="auto"/>
          <w:sz w:val="32"/>
          <w:szCs w:val="32"/>
          <w:highlight w:val="none"/>
        </w:rPr>
        <w:br w:type="page" w:clear="all"/>
      </w:r>
      <w:bookmarkStart w:id="17" w:name="_Toc142194266"/>
      <w:r/>
      <w:bookmarkStart w:id="18" w:name="_Toc388026586"/>
      <w:r>
        <w:rPr>
          <w:rFonts w:hint="eastAsia" w:ascii="宋体" w:hAnsi="宋体" w:eastAsia="宋体" w:cs="宋体"/>
          <w:b/>
          <w:color w:val="auto"/>
          <w:highlight w:val="none"/>
        </w:rPr>
        <w:t xml:space="preserve">一、</w:t>
      </w:r>
      <w:bookmarkEnd w:id="17"/>
      <w:r>
        <w:rPr>
          <w:rFonts w:hint="eastAsia" w:ascii="宋体" w:hAnsi="宋体" w:eastAsia="宋体" w:cs="宋体"/>
          <w:b/>
          <w:color w:val="auto"/>
          <w:sz w:val="30"/>
          <w:szCs w:val="30"/>
          <w:highlight w:val="none"/>
        </w:rPr>
        <w:t xml:space="preserve">投标函</w:t>
      </w:r>
      <w:r/>
    </w:p>
    <w:p>
      <w:pPr>
        <w:pStyle w:val="1045"/>
        <w:jc w:val="left"/>
        <w:spacing w:line="360" w:lineRule="auto"/>
        <w:rPr>
          <w:rFonts w:hAnsi="宋体" w:eastAsia="宋体" w:cs="宋体"/>
          <w:color w:val="auto"/>
          <w:sz w:val="24"/>
          <w:szCs w:val="24"/>
          <w:highlight w:val="none"/>
          <w:u w:val="single"/>
        </w:rPr>
      </w:pPr>
      <w:r>
        <w:rPr>
          <w:rFonts w:hint="eastAsia" w:hAnsi="宋体" w:eastAsia="宋体" w:cs="宋体"/>
          <w:color w:val="auto"/>
          <w:sz w:val="24"/>
          <w:szCs w:val="24"/>
          <w:highlight w:val="none"/>
          <w:u w:val="single"/>
          <w:lang w:eastAsia="zh-CN"/>
        </w:rPr>
        <w:t xml:space="preserve">江苏海外集团国际工程咨询有限公司</w:t>
      </w:r>
      <w:r>
        <w:rPr>
          <w:rFonts w:hint="eastAsia" w:hAnsi="宋体" w:eastAsia="宋体" w:cs="宋体"/>
          <w:color w:val="auto"/>
          <w:sz w:val="24"/>
          <w:szCs w:val="24"/>
          <w:highlight w:val="none"/>
        </w:rPr>
        <w:t xml:space="preserve">：</w:t>
      </w:r>
      <w:r/>
    </w:p>
    <w:p>
      <w:pPr>
        <w:pStyle w:val="1045"/>
        <w:ind w:firstLine="480"/>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我们收到贵公司 </w:t>
      </w:r>
      <w:r>
        <w:rPr>
          <w:rFonts w:hint="eastAsia" w:hAnsi="宋体" w:eastAsia="宋体" w:cs="宋体"/>
          <w:color w:val="auto"/>
          <w:sz w:val="24"/>
          <w:szCs w:val="24"/>
          <w:highlight w:val="none"/>
          <w:u w:val="single"/>
        </w:rPr>
        <w:t xml:space="preserve">   （招标编号）    </w:t>
      </w:r>
      <w:r>
        <w:rPr>
          <w:rFonts w:hint="eastAsia" w:hAnsi="宋体" w:eastAsia="宋体" w:cs="宋体"/>
          <w:color w:val="auto"/>
          <w:sz w:val="24"/>
          <w:szCs w:val="24"/>
          <w:highlight w:val="none"/>
        </w:rPr>
        <w:t xml:space="preserve">号招标文件，经仔细阅读和研究，我们决定参加投标,并向贵公司承诺：</w:t>
      </w:r>
      <w:r/>
    </w:p>
    <w:p>
      <w:pPr>
        <w:pStyle w:val="1045"/>
        <w:ind w:firstLine="480"/>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我们愿意按照招标文件的一切要求，提供包括完成该项目所需的全部内容，我们的投标报价包括包含完成全部服务内容所需的人工费用、税费、利润、其它临时性杂项应急服务费用、劳保与培训、政策性文件规定及合同包含的所有风险、责任等服务过程中所需的全部费用。</w:t>
      </w:r>
      <w:r/>
    </w:p>
    <w:p>
      <w:pPr>
        <w:pStyle w:val="1045"/>
        <w:ind w:firstLine="480"/>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2、如果我们的投标书被接受，我们将严格履行招标文件中规定的每一项要求，严格履行合同的责任和义务，保证按期、按质履行合同。</w:t>
      </w:r>
      <w:r/>
    </w:p>
    <w:p>
      <w:pPr>
        <w:pStyle w:val="1045"/>
        <w:ind w:firstLine="480"/>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3、我们同意按招标文件中的规定，本投标书的有效期限为开标后</w:t>
      </w:r>
      <w:r>
        <w:rPr>
          <w:rFonts w:hint="eastAsia" w:hAnsi="宋体" w:eastAsia="宋体" w:cs="宋体"/>
          <w:color w:val="auto"/>
          <w:sz w:val="24"/>
          <w:szCs w:val="24"/>
          <w:highlight w:val="none"/>
          <w:u w:val="single"/>
        </w:rPr>
        <w:t xml:space="preserve">90</w:t>
      </w:r>
      <w:r>
        <w:rPr>
          <w:rFonts w:hint="eastAsia" w:hAnsi="宋体" w:eastAsia="宋体" w:cs="宋体"/>
          <w:color w:val="auto"/>
          <w:sz w:val="24"/>
          <w:szCs w:val="24"/>
          <w:highlight w:val="none"/>
        </w:rPr>
        <w:t xml:space="preserve">日历天，如果我们在开标后规定的投标有效期内撤回投标，我们的投标保证金可被贵方没收。</w:t>
      </w:r>
      <w:r/>
    </w:p>
    <w:p>
      <w:pPr>
        <w:pStyle w:val="1074"/>
        <w:ind w:firstLine="480"/>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4、我们愿意提供招标方在招标文件中要求的所有资料。也同意向贵方提供贵方可能另外要求的与其投标有关的任何证据或资料。并保证所提供的资料全部是真实的、有效的，若有虚假，我们愿承担一切责任。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1074"/>
        <w:ind w:firstLine="480"/>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5、我们认为你们有权决定中标者，还认为你们有权接受或拒绝所有的投标者。</w:t>
      </w:r>
      <w:r/>
    </w:p>
    <w:p>
      <w:pPr>
        <w:pStyle w:val="962"/>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6、我们愿意遵守招标公告及招标文件中所列的收费标准。</w:t>
      </w:r>
      <w:r/>
    </w:p>
    <w:p>
      <w:pPr>
        <w:pStyle w:val="1074"/>
        <w:ind w:firstLine="480"/>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7、我们承诺该项投标在开标后的全过程中保持有效，不作任何更改和变动。我们同意中标后若不履行投标文件的内容要求和各项承诺及义务的即被视为违约，其中标资格将被取消，并接受相应的处罚。</w:t>
      </w:r>
      <w:r/>
    </w:p>
    <w:p>
      <w:pPr>
        <w:pStyle w:val="1074"/>
        <w:ind w:firstLine="480"/>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8、如果我们中标，我们愿意按前附表的规定在领取中标通过书时向贵公司支付中标服务费，逾期按中国人民银行公布的同期人民币贷款最高利率计付利息；</w:t>
      </w:r>
      <w:r/>
    </w:p>
    <w:p>
      <w:pPr>
        <w:pStyle w:val="1074"/>
        <w:ind w:firstLine="480"/>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9、与本投标有关的通讯地址：</w:t>
      </w:r>
      <w:r/>
    </w:p>
    <w:p>
      <w:pPr>
        <w:pStyle w:val="1074"/>
        <w:jc w:val="left"/>
        <w:spacing w:line="360" w:lineRule="auto"/>
        <w:rPr>
          <w:rFonts w:hint="default" w:hAnsi="宋体" w:eastAsia="宋体" w:cs="宋体"/>
          <w:color w:val="auto"/>
          <w:sz w:val="24"/>
          <w:szCs w:val="24"/>
          <w:highlight w:val="none"/>
          <w:u w:val="single"/>
        </w:rPr>
      </w:pPr>
      <w:r>
        <w:rPr>
          <w:rFonts w:hAnsi="宋体" w:eastAsia="宋体" w:cs="宋体"/>
          <w:color w:val="auto"/>
          <w:sz w:val="24"/>
          <w:szCs w:val="24"/>
          <w:highlight w:val="none"/>
        </w:rPr>
        <w:t xml:space="preserve">单    位： </w:t>
      </w:r>
      <w:r>
        <w:rPr>
          <w:rFonts w:hAnsi="宋体" w:eastAsia="宋体" w:cs="宋体"/>
          <w:color w:val="auto"/>
          <w:sz w:val="24"/>
          <w:szCs w:val="24"/>
          <w:highlight w:val="none"/>
          <w:u w:val="single"/>
        </w:rPr>
        <w:t xml:space="preserve">                                </w:t>
      </w:r>
      <w:r>
        <w:rPr>
          <w:rFonts w:hAnsi="宋体" w:eastAsia="宋体" w:cs="宋体"/>
          <w:color w:val="auto"/>
          <w:sz w:val="24"/>
          <w:szCs w:val="24"/>
          <w:highlight w:val="none"/>
        </w:rPr>
        <w:t xml:space="preserve">联 系 人：</w:t>
      </w:r>
      <w:r>
        <w:rPr>
          <w:rFonts w:hAnsi="宋体" w:eastAsia="宋体" w:cs="宋体"/>
          <w:color w:val="auto"/>
          <w:sz w:val="24"/>
          <w:szCs w:val="24"/>
          <w:highlight w:val="none"/>
          <w:u w:val="single"/>
        </w:rPr>
        <w:t xml:space="preserve">                   </w:t>
      </w:r>
      <w:r/>
    </w:p>
    <w:p>
      <w:pPr>
        <w:pStyle w:val="1074"/>
        <w:jc w:val="left"/>
        <w:spacing w:line="360" w:lineRule="auto"/>
        <w:rPr>
          <w:rFonts w:hint="default" w:hAnsi="宋体" w:eastAsia="宋体" w:cs="宋体"/>
          <w:color w:val="auto"/>
          <w:sz w:val="24"/>
          <w:szCs w:val="24"/>
          <w:highlight w:val="none"/>
          <w:u w:val="single"/>
        </w:rPr>
      </w:pPr>
      <w:r>
        <w:rPr>
          <w:rFonts w:hAnsi="宋体" w:eastAsia="宋体" w:cs="宋体"/>
          <w:color w:val="auto"/>
          <w:sz w:val="24"/>
          <w:szCs w:val="24"/>
          <w:highlight w:val="none"/>
        </w:rPr>
        <w:t xml:space="preserve">地    址：</w:t>
      </w:r>
      <w:r>
        <w:rPr>
          <w:rFonts w:hAnsi="宋体" w:eastAsia="宋体" w:cs="宋体"/>
          <w:color w:val="auto"/>
          <w:sz w:val="24"/>
          <w:szCs w:val="24"/>
          <w:highlight w:val="none"/>
          <w:u w:val="single"/>
        </w:rPr>
        <w:t xml:space="preserve">                                </w:t>
      </w:r>
      <w:r>
        <w:rPr>
          <w:rFonts w:hAnsi="宋体" w:eastAsia="宋体" w:cs="宋体"/>
          <w:color w:val="auto"/>
          <w:sz w:val="24"/>
          <w:szCs w:val="24"/>
          <w:highlight w:val="none"/>
        </w:rPr>
        <w:t xml:space="preserve"> 邮政编码：</w:t>
      </w:r>
      <w:r>
        <w:rPr>
          <w:rFonts w:hAnsi="宋体" w:eastAsia="宋体" w:cs="宋体"/>
          <w:color w:val="auto"/>
          <w:sz w:val="24"/>
          <w:szCs w:val="24"/>
          <w:highlight w:val="none"/>
          <w:u w:val="single"/>
        </w:rPr>
        <w:t xml:space="preserve">                </w:t>
      </w:r>
      <w:r/>
    </w:p>
    <w:p>
      <w:pPr>
        <w:pStyle w:val="1074"/>
        <w:jc w:val="left"/>
        <w:spacing w:line="360" w:lineRule="auto"/>
        <w:rPr>
          <w:rFonts w:hint="default" w:hAnsi="宋体" w:eastAsia="宋体" w:cs="宋体"/>
          <w:color w:val="auto"/>
          <w:sz w:val="24"/>
          <w:szCs w:val="24"/>
          <w:highlight w:val="none"/>
          <w:u w:val="single"/>
        </w:rPr>
      </w:pPr>
      <w:r>
        <w:rPr>
          <w:rFonts w:hAnsi="宋体" w:eastAsia="宋体" w:cs="宋体"/>
          <w:color w:val="auto"/>
          <w:sz w:val="24"/>
          <w:szCs w:val="24"/>
          <w:highlight w:val="none"/>
        </w:rPr>
        <w:t xml:space="preserve">联系电话：</w:t>
      </w:r>
      <w:r>
        <w:rPr>
          <w:rFonts w:hAnsi="宋体" w:eastAsia="宋体" w:cs="宋体"/>
          <w:color w:val="auto"/>
          <w:sz w:val="24"/>
          <w:szCs w:val="24"/>
          <w:highlight w:val="none"/>
          <w:u w:val="single"/>
        </w:rPr>
        <w:t xml:space="preserve">                                </w:t>
      </w:r>
      <w:r>
        <w:rPr>
          <w:rFonts w:hAnsi="宋体" w:eastAsia="宋体" w:cs="宋体"/>
          <w:color w:val="auto"/>
          <w:sz w:val="24"/>
          <w:szCs w:val="24"/>
          <w:highlight w:val="none"/>
        </w:rPr>
        <w:t xml:space="preserve"> 传    真：</w:t>
      </w:r>
      <w:r>
        <w:rPr>
          <w:rFonts w:hAnsi="宋体" w:eastAsia="宋体" w:cs="宋体"/>
          <w:color w:val="auto"/>
          <w:sz w:val="24"/>
          <w:szCs w:val="24"/>
          <w:highlight w:val="none"/>
          <w:u w:val="single"/>
        </w:rPr>
        <w:t xml:space="preserve">                    </w:t>
      </w:r>
      <w:r/>
    </w:p>
    <w:p>
      <w:pPr>
        <w:pStyle w:val="1074"/>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供应商：（单位盖章）</w:t>
      </w:r>
      <w:r/>
    </w:p>
    <w:p>
      <w:pPr>
        <w:pStyle w:val="1074"/>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单位法定代表人或授权委托人：（签字或盖章）</w:t>
      </w:r>
      <w:r/>
    </w:p>
    <w:p>
      <w:pPr>
        <w:pStyle w:val="962"/>
        <w:ind w:firstLine="0"/>
        <w:jc w:val="center"/>
        <w:spacing w:line="360" w:lineRule="auto"/>
        <w:rPr>
          <w:rFonts w:ascii="宋体" w:hAnsi="宋体" w:eastAsia="宋体" w:cs="宋体"/>
          <w:b/>
          <w:color w:val="auto"/>
          <w:sz w:val="30"/>
          <w:szCs w:val="30"/>
          <w:highlight w:val="none"/>
        </w:rPr>
      </w:pPr>
      <w:r>
        <w:rPr>
          <w:rFonts w:hint="eastAsia" w:ascii="宋体" w:hAnsi="宋体" w:eastAsia="宋体" w:cs="宋体"/>
          <w:b/>
          <w:color w:val="auto"/>
          <w:sz w:val="21"/>
          <w:szCs w:val="21"/>
          <w:highlight w:val="none"/>
        </w:rPr>
        <w:br w:type="page" w:clear="all"/>
      </w:r>
      <w:bookmarkStart w:id="19" w:name="_Toc142194267"/>
      <w:r>
        <w:rPr>
          <w:rFonts w:hint="eastAsia" w:ascii="宋体" w:hAnsi="宋体" w:eastAsia="宋体" w:cs="宋体"/>
          <w:b/>
          <w:bCs/>
          <w:color w:val="auto"/>
          <w:sz w:val="30"/>
          <w:szCs w:val="30"/>
          <w:highlight w:val="none"/>
        </w:rPr>
        <w:t xml:space="preserve">二、</w:t>
      </w:r>
      <w:bookmarkEnd w:id="19"/>
      <w:r>
        <w:rPr>
          <w:rFonts w:hint="eastAsia" w:ascii="宋体" w:hAnsi="宋体" w:eastAsia="宋体" w:cs="宋体"/>
          <w:b/>
          <w:color w:val="auto"/>
          <w:sz w:val="30"/>
          <w:szCs w:val="30"/>
          <w:highlight w:val="none"/>
        </w:rPr>
        <w:t xml:space="preserve">法定代表人授权委托书</w:t>
      </w:r>
      <w:r/>
    </w:p>
    <w:p>
      <w:pPr>
        <w:pStyle w:val="962"/>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本授权委托书声明：我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（投标人名称）的法定代表人，现授权委托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（姓名）为我公司授权委托人（即代理人），以本公司的名义参加</w:t>
      </w:r>
      <w:r>
        <w:rPr>
          <w:rFonts w:hint="eastAsia" w:ascii="宋体" w:hAnsi="宋体" w:eastAsia="宋体" w:cs="宋体"/>
          <w:color w:val="auto"/>
          <w:szCs w:val="24"/>
          <w:highlight w:val="none"/>
          <w:lang w:eastAsia="zh-CN"/>
        </w:rPr>
        <w:t xml:space="preserve">江苏海外集团国际工程咨询有限公司</w:t>
      </w:r>
      <w:r>
        <w:rPr>
          <w:rFonts w:hint="eastAsia" w:ascii="宋体" w:hAnsi="宋体" w:eastAsia="宋体" w:cs="宋体"/>
          <w:color w:val="auto"/>
          <w:szCs w:val="24"/>
          <w:highlight w:val="none"/>
        </w:rPr>
        <w:t xml:space="preserve">组织实施的编号为</w:t>
      </w:r>
      <w:r>
        <w:rPr>
          <w:rFonts w:hint="eastAsia" w:ascii="宋体" w:hAnsi="宋体" w:eastAsia="宋体" w:cs="宋体"/>
          <w:color w:val="auto"/>
          <w:szCs w:val="24"/>
          <w:highlight w:val="none"/>
          <w:u w:val="single"/>
        </w:rPr>
        <w:t xml:space="preserve">  （项目编号）   </w:t>
      </w:r>
      <w:r>
        <w:rPr>
          <w:rFonts w:hint="eastAsia" w:ascii="宋体" w:hAnsi="宋体" w:eastAsia="宋体" w:cs="宋体"/>
          <w:color w:val="auto"/>
          <w:szCs w:val="24"/>
          <w:highlight w:val="none"/>
        </w:rPr>
        <w:t xml:space="preserve">号的 </w:t>
      </w:r>
      <w:r>
        <w:rPr>
          <w:rFonts w:hint="eastAsia" w:ascii="宋体" w:hAnsi="宋体" w:eastAsia="宋体" w:cs="宋体"/>
          <w:color w:val="auto"/>
          <w:szCs w:val="24"/>
          <w:highlight w:val="none"/>
          <w:u w:val="single"/>
        </w:rPr>
        <w:t xml:space="preserve">   （项目名称）  </w:t>
      </w:r>
      <w:r>
        <w:rPr>
          <w:rFonts w:hint="eastAsia" w:ascii="宋体" w:hAnsi="宋体" w:eastAsia="宋体" w:cs="宋体"/>
          <w:color w:val="auto"/>
          <w:szCs w:val="24"/>
          <w:highlight w:val="none"/>
        </w:rPr>
        <w:t xml:space="preserve">招标活动。代理人在开标、评标、合同谈判过程中所签署的一切文件和处理与这有关的一切事务，我均予以承认。</w:t>
      </w:r>
      <w:r/>
    </w:p>
    <w:p>
      <w:pPr>
        <w:pStyle w:val="962"/>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962"/>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代理人无转委托权。特此委托。</w:t>
      </w:r>
      <w:r/>
    </w:p>
    <w:p>
      <w:pPr>
        <w:pStyle w:val="962"/>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62"/>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供应商：（公章）</w:t>
      </w:r>
      <w:r/>
    </w:p>
    <w:p>
      <w:pPr>
        <w:pStyle w:val="962"/>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法定代表人：（签字或盖章）</w:t>
      </w:r>
      <w:r/>
    </w:p>
    <w:p>
      <w:pPr>
        <w:pStyle w:val="962"/>
        <w:ind w:firstLine="0"/>
        <w:spacing w:line="360" w:lineRule="auto"/>
        <w:rPr>
          <w:rFonts w:ascii="宋体" w:hAnsi="宋体" w:eastAsia="宋体" w:cs="宋体"/>
          <w:color w:val="auto"/>
          <w:sz w:val="21"/>
          <w:highlight w:val="none"/>
        </w:rPr>
      </w:pPr>
      <w:r>
        <w:rPr>
          <w:rFonts w:hint="eastAsia" w:ascii="宋体" w:hAnsi="宋体" w:eastAsia="宋体" w:cs="宋体"/>
          <w:color w:val="auto"/>
          <w:szCs w:val="24"/>
          <w:highlight w:val="none"/>
        </w:rPr>
        <w:t xml:space="preserve">代理人：（签字）</w:t>
      </w:r>
      <w:r>
        <w:rPr>
          <w:rFonts w:hint="eastAsia" w:ascii="宋体" w:hAnsi="宋体" w:eastAsia="宋体" w:cs="宋体"/>
          <w:color w:val="auto"/>
          <w:sz w:val="21"/>
          <w:highlight w:val="none"/>
        </w:rPr>
        <w:t xml:space="preserve"> </w:t>
      </w:r>
      <w:r/>
    </w:p>
    <w:p>
      <w:pPr>
        <w:pStyle w:val="962"/>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96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62"/>
        <w:ind w:firstLine="0"/>
        <w:jc w:val="center"/>
        <w:spacing w:line="360" w:lineRule="auto"/>
        <w:rPr>
          <w:rFonts w:ascii="宋体" w:hAnsi="宋体" w:eastAsia="宋体" w:cs="宋体"/>
          <w:color w:val="auto"/>
          <w:szCs w:val="24"/>
          <w:highlight w:val="none"/>
        </w:rPr>
      </w:pPr>
      <w:r/>
      <w:bookmarkStart w:id="20" w:name="_Toc142194268"/>
      <w:r>
        <w:rPr>
          <w:rFonts w:hint="eastAsia" w:ascii="宋体" w:hAnsi="宋体" w:eastAsia="宋体" w:cs="宋体"/>
          <w:b/>
          <w:bCs/>
          <w:color w:val="auto"/>
          <w:sz w:val="30"/>
          <w:szCs w:val="30"/>
          <w:highlight w:val="none"/>
        </w:rPr>
        <w:br w:type="page" w:clear="all"/>
      </w:r>
      <w:r>
        <w:rPr>
          <w:rFonts w:hint="eastAsia" w:ascii="宋体" w:hAnsi="宋体" w:eastAsia="宋体" w:cs="宋体"/>
          <w:b/>
          <w:bCs/>
          <w:color w:val="auto"/>
          <w:sz w:val="30"/>
          <w:szCs w:val="30"/>
          <w:highlight w:val="none"/>
        </w:rPr>
        <w:t xml:space="preserve">三、</w:t>
      </w:r>
      <w:bookmarkEnd w:id="20"/>
      <w:r>
        <w:rPr>
          <w:rFonts w:hint="eastAsia" w:ascii="宋体" w:hAnsi="宋体" w:eastAsia="宋体" w:cs="宋体"/>
          <w:b/>
          <w:bCs/>
          <w:color w:val="auto"/>
          <w:sz w:val="30"/>
          <w:szCs w:val="30"/>
          <w:highlight w:val="none"/>
        </w:rPr>
        <w:t xml:space="preserve">投标报价表</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招标编号：</w:t>
      </w:r>
      <w:r/>
    </w:p>
    <w:tbl>
      <w:tblPr>
        <w:tblStyle w:val="96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1"/>
        <w:gridCol w:w="915"/>
        <w:gridCol w:w="1134"/>
        <w:gridCol w:w="2822"/>
        <w:gridCol w:w="1322"/>
        <w:gridCol w:w="2447"/>
      </w:tblGrid>
      <w:tr>
        <w:trPr>
          <w:cantSplit/>
          <w:trHeight w:val="602"/>
        </w:trPr>
        <w:tc>
          <w:tcPr>
            <w:tcBorders>
              <w:top w:val="single" w:color="auto" w:sz="4" w:space="0"/>
              <w:left w:val="single" w:color="auto" w:sz="4" w:space="0"/>
              <w:bottom w:val="single" w:color="auto" w:sz="4" w:space="0"/>
              <w:right w:val="single" w:color="auto" w:sz="4" w:space="0"/>
            </w:tcBorders>
            <w:tcW w:w="34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152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单价</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val="en-US" w:eastAsia="zh-CN"/>
              </w:rPr>
              <w:t xml:space="preserve">/平方米</w:t>
            </w: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131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47"/>
        </w:trPr>
        <w:tc>
          <w:tcPr>
            <w:tcBorders>
              <w:top w:val="single" w:color="auto" w:sz="4" w:space="0"/>
              <w:left w:val="single" w:color="auto" w:sz="4" w:space="0"/>
              <w:bottom w:val="single" w:color="auto" w:sz="4" w:space="0"/>
              <w:right w:val="single" w:color="auto" w:sz="4" w:space="0"/>
            </w:tcBorders>
            <w:tcW w:w="34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20" w:type="pct"/>
            <w:vAlign w:val="center"/>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18" w:type="pct"/>
            <w:vAlign w:val="center"/>
            <w:textDirection w:val="lrTb"/>
            <w:noWrap w:val="false"/>
          </w:tcPr>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共计36幢建筑物，建筑面积约11.43万平方米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建筑面积以检测现场实际情况为准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投标总价不得超过</w:t>
            </w:r>
            <w:r>
              <w:rPr>
                <w:rFonts w:hint="eastAsia" w:ascii="宋体" w:hAnsi="宋体" w:eastAsia="宋体" w:cs="宋体"/>
                <w:bCs/>
                <w:color w:val="auto"/>
                <w:sz w:val="24"/>
                <w:szCs w:val="24"/>
                <w:highlight w:val="none"/>
                <w:lang w:val="en-US" w:eastAsia="zh-CN"/>
              </w:rPr>
              <w:t xml:space="preserve">679998.00元，否则作无效标处理</w:t>
            </w:r>
            <w:r/>
          </w:p>
        </w:tc>
      </w:tr>
      <w:tr>
        <w:trPr>
          <w:cantSplit/>
          <w:trHeight w:val="567"/>
        </w:trPr>
        <w:tc>
          <w:tcPr>
            <w:gridSpan w:val="2"/>
            <w:tcBorders>
              <w:top w:val="single" w:color="auto" w:sz="4" w:space="0"/>
              <w:left w:val="single" w:color="auto" w:sz="4" w:space="0"/>
              <w:bottom w:val="single" w:color="auto" w:sz="4" w:space="0"/>
              <w:right w:val="single" w:color="auto" w:sz="4" w:space="0"/>
            </w:tcBorders>
            <w:tcW w:w="838" w:type="pct"/>
            <w:vAlign w:val="bottom"/>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企业规模</w:t>
            </w:r>
            <w:r/>
          </w:p>
        </w:tc>
        <w:tc>
          <w:tcPr>
            <w:gridSpan w:val="3"/>
            <w:tcBorders>
              <w:top w:val="single" w:color="auto" w:sz="4" w:space="0"/>
              <w:left w:val="single" w:color="auto" w:sz="4" w:space="0"/>
              <w:bottom w:val="single" w:color="auto" w:sz="4" w:space="0"/>
              <w:right w:val="single" w:color="auto" w:sz="4" w:space="0"/>
            </w:tcBorders>
            <w:tcW w:w="2843" w:type="pct"/>
            <w:vAlign w:val="bottom"/>
            <w:textDirection w:val="lrTb"/>
            <w:noWrap w:val="false"/>
          </w:tcPr>
          <w:p>
            <w:pPr>
              <w:spacing w:line="360" w:lineRule="auto"/>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残疾人企业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监狱企业      </w:t>
            </w:r>
            <w:r/>
          </w:p>
        </w:tc>
        <w:tc>
          <w:tcPr>
            <w:tcBorders>
              <w:top w:val="single" w:color="auto" w:sz="4" w:space="0"/>
              <w:left w:val="single" w:color="auto" w:sz="4" w:space="0"/>
              <w:bottom w:val="single" w:color="auto" w:sz="4" w:space="0"/>
              <w:right w:val="single" w:color="auto" w:sz="4" w:space="0"/>
            </w:tcBorders>
            <w:tcW w:w="1318" w:type="pct"/>
            <w:vAlign w:val="bottom"/>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供应商（盖公章）：</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ascii="宋体" w:hAnsi="宋体" w:eastAsia="宋体" w:cs="宋体"/>
          <w:b/>
          <w:color w:val="auto"/>
          <w:sz w:val="24"/>
          <w:szCs w:val="24"/>
          <w:highlight w:val="none"/>
          <w:u w:val="single"/>
        </w:rPr>
      </w:pPr>
      <w:r/>
      <w:bookmarkStart w:id="21" w:name="_Toc142194270"/>
      <w:r>
        <w:rPr>
          <w:rFonts w:hint="eastAsia" w:ascii="宋体" w:hAnsi="宋体" w:eastAsia="宋体" w:cs="宋体"/>
          <w:b/>
          <w:color w:val="auto"/>
          <w:sz w:val="24"/>
          <w:szCs w:val="24"/>
          <w:highlight w:val="none"/>
          <w:u w:val="single"/>
        </w:rPr>
        <w:t xml:space="preserve">注：1、本表中的报价应包含完成全部服务内容所需的人工费用、税费、利润、其它临时性杂项应急服务费用、劳保与培训、政策性文件规定及合同包含的所有风险、责任等服务过程中所需的全部费用。</w:t>
      </w:r>
      <w:r/>
    </w:p>
    <w:p>
      <w:pPr>
        <w:spacing w:line="360" w:lineRule="auto"/>
        <w:rPr>
          <w:rFonts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2、报价金额全部采取人民币表示，投标报价精确到分。</w:t>
      </w:r>
      <w:r/>
    </w:p>
    <w:p>
      <w:pPr>
        <w:pStyle w:val="962"/>
        <w:ind w:firstLine="0"/>
        <w:jc w:val="center"/>
        <w:spacing w:line="360" w:lineRule="auto"/>
        <w:rPr>
          <w:rFonts w:hint="eastAsia" w:ascii="宋体" w:hAnsi="宋体" w:eastAsia="宋体" w:cs="宋体"/>
          <w:b/>
          <w:color w:val="auto"/>
          <w:szCs w:val="24"/>
          <w:highlight w:val="none"/>
          <w:lang w:eastAsia="zh-CN"/>
        </w:rPr>
      </w:pPr>
      <w:r>
        <w:rPr>
          <w:rFonts w:hint="eastAsia" w:hAnsi="宋体" w:eastAsia="宋体" w:cs="宋体"/>
          <w:b/>
          <w:bCs/>
          <w:color w:val="auto"/>
          <w:szCs w:val="24"/>
          <w:highlight w:val="none"/>
        </w:rPr>
        <w:br w:type="page" w:clear="all"/>
      </w:r>
      <w:r>
        <w:rPr>
          <w:rFonts w:hint="eastAsia" w:ascii="宋体" w:hAnsi="宋体" w:eastAsia="宋体" w:cs="宋体"/>
          <w:b/>
          <w:bCs/>
          <w:color w:val="auto"/>
          <w:sz w:val="30"/>
          <w:szCs w:val="30"/>
          <w:highlight w:val="none"/>
        </w:rPr>
        <w:t xml:space="preserve">四、分项报价明细表</w:t>
      </w:r>
      <w:r>
        <w:rPr>
          <w:rFonts w:hint="eastAsia" w:ascii="宋体" w:hAnsi="宋体" w:eastAsia="宋体" w:cs="宋体"/>
          <w:b/>
          <w:bCs/>
          <w:color w:val="auto"/>
          <w:sz w:val="30"/>
          <w:szCs w:val="30"/>
          <w:highlight w:val="none"/>
          <w:lang w:eastAsia="zh-CN"/>
        </w:rPr>
        <w:t xml:space="preserve">（</w:t>
      </w:r>
      <w:r>
        <w:rPr>
          <w:rFonts w:hint="eastAsia" w:ascii="宋体" w:hAnsi="宋体" w:eastAsia="宋体" w:cs="宋体"/>
          <w:b/>
          <w:bCs/>
          <w:color w:val="auto"/>
          <w:sz w:val="30"/>
          <w:szCs w:val="30"/>
          <w:highlight w:val="none"/>
          <w:lang w:val="en-US" w:eastAsia="zh-CN"/>
        </w:rPr>
        <w:t xml:space="preserve">如有</w:t>
      </w:r>
      <w:r>
        <w:rPr>
          <w:rFonts w:hint="eastAsia" w:ascii="宋体" w:hAnsi="宋体" w:eastAsia="宋体" w:cs="宋体"/>
          <w:b/>
          <w:bCs/>
          <w:color w:val="auto"/>
          <w:sz w:val="30"/>
          <w:szCs w:val="30"/>
          <w:highlight w:val="none"/>
          <w:lang w:eastAsia="zh-CN"/>
        </w:rPr>
        <w:t xml:space="preserve">）</w:t>
      </w:r>
      <w:r/>
    </w:p>
    <w:p>
      <w:pPr>
        <w:jc w:val="center"/>
        <w:rPr>
          <w:rFonts w:ascii="宋体" w:hAnsi="宋体" w:eastAsia="宋体" w:cs="宋体"/>
          <w:color w:val="auto"/>
          <w:sz w:val="24"/>
          <w:szCs w:val="24"/>
          <w:highlight w:val="none"/>
          <w:u w:val="single"/>
        </w:rPr>
      </w:pPr>
      <w:r>
        <w:rPr>
          <w:rFonts w:ascii="宋体" w:hAnsi="宋体" w:eastAsia="宋体" w:cs="宋体"/>
          <w:color w:val="auto"/>
          <w:sz w:val="24"/>
          <w:szCs w:val="24"/>
          <w:highlight w:val="none"/>
          <w:u w:val="single"/>
        </w:rPr>
      </w:r>
      <w:r/>
    </w:p>
    <w:tbl>
      <w:tblPr>
        <w:tblStyle w:val="960"/>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928"/>
        <w:gridCol w:w="1061"/>
        <w:gridCol w:w="1403"/>
        <w:gridCol w:w="1396"/>
        <w:gridCol w:w="1398"/>
        <w:gridCol w:w="1398"/>
      </w:tblGrid>
      <w:tr>
        <w:trPr/>
        <w:tc>
          <w:tcPr>
            <w:tcW w:w="355" w:type="pct"/>
            <w:vAlign w:val="center"/>
            <w:textDirection w:val="lrTb"/>
            <w:noWrap/>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042" w:type="pct"/>
            <w:vAlign w:val="center"/>
            <w:textDirection w:val="lrTb"/>
            <w:noWrap/>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tc>
        <w:tc>
          <w:tcPr>
            <w:shd w:val="clear" w:color="auto" w:fill="auto"/>
            <w:tcW w:w="575" w:type="pct"/>
            <w:vAlign w:val="center"/>
            <w:textDirection w:val="lrTb"/>
            <w:noWrap/>
          </w:tcPr>
          <w:p>
            <w:pPr>
              <w:jc w:val="center"/>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数量</w:t>
            </w:r>
            <w:r/>
          </w:p>
        </w:tc>
        <w:tc>
          <w:tcPr>
            <w:shd w:val="clear" w:color="auto" w:fill="auto"/>
            <w:tcW w:w="759" w:type="pct"/>
            <w:vAlign w:val="center"/>
            <w:textDirection w:val="lrTb"/>
            <w:noWrap/>
          </w:tcPr>
          <w:p>
            <w:pPr>
              <w:jc w:val="center"/>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c>
          <w:tcPr>
            <w:shd w:val="clear" w:color="auto" w:fill="auto"/>
            <w:tcW w:w="755" w:type="pct"/>
            <w:vAlign w:val="center"/>
            <w:textDirection w:val="lrTb"/>
            <w:noWrap/>
          </w:tcPr>
          <w:p>
            <w:pPr>
              <w:jc w:val="center"/>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单价</w:t>
            </w:r>
            <w:r/>
          </w:p>
        </w:tc>
        <w:tc>
          <w:tcPr>
            <w:shd w:val="clear" w:color="auto" w:fill="auto"/>
            <w:tcW w:w="756" w:type="pct"/>
            <w:vAlign w:val="center"/>
            <w:textDirection w:val="lrTb"/>
            <w:noWrap/>
          </w:tcPr>
          <w:p>
            <w:pPr>
              <w:jc w:val="center"/>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小计</w:t>
            </w:r>
            <w:r/>
          </w:p>
        </w:tc>
        <w:tc>
          <w:tcPr>
            <w:shd w:val="clear" w:color="auto" w:fill="auto"/>
            <w:tcW w:w="756" w:type="pct"/>
            <w:vAlign w:val="center"/>
            <w:textDirection w:val="lrTb"/>
            <w:noWrap/>
          </w:tcPr>
          <w:p>
            <w:pPr>
              <w:jc w:val="center"/>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备注</w:t>
            </w:r>
            <w:r/>
          </w:p>
        </w:tc>
      </w:tr>
      <w:tr>
        <w:trPr>
          <w:trHeight w:val="90"/>
        </w:trPr>
        <w:tc>
          <w:tcPr>
            <w:tcW w:w="355" w:type="pct"/>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42"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575"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759"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755"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756"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756"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trHeight w:val="90"/>
        </w:trPr>
        <w:tc>
          <w:tcPr>
            <w:tcW w:w="355"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42"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575"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759"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755"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756"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756"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90"/>
        </w:trPr>
        <w:tc>
          <w:tcPr>
            <w:tcW w:w="355"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42"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575"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759"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755"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756"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756"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90"/>
        </w:trPr>
        <w:tc>
          <w:tcPr>
            <w:tcW w:w="355" w:type="pct"/>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42"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575" w:type="pct"/>
            <w:vAlign w:val="center"/>
            <w:textDirection w:val="lrTb"/>
            <w:noWrap/>
          </w:tcPr>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759"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755"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756"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756" w:type="pct"/>
            <w:vAlign w:val="center"/>
            <w:textDirection w:val="lrTb"/>
            <w:noWrap/>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right="-200"/>
        <w:jc w:val="righ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200"/>
        <w:jc w:val="left"/>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供应商名称：（公章）</w:t>
      </w:r>
      <w:r/>
    </w:p>
    <w:p>
      <w:pPr>
        <w:jc w:val="left"/>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p>
    <w:p>
      <w:pPr>
        <w:ind w:right="615"/>
        <w:jc w:val="left"/>
        <w:spacing w:line="40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   日</w:t>
      </w:r>
      <w:r/>
    </w:p>
    <w:p>
      <w:pPr>
        <w:pStyle w:val="972"/>
        <w:ind w:firstLine="480"/>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962"/>
        <w:ind w:firstLine="480"/>
        <w:spacing w:line="360" w:lineRule="auto"/>
        <w:tabs>
          <w:tab w:val="left" w:pos="7560" w:leader="none"/>
        </w:tabs>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注：1.投标人</w:t>
      </w:r>
      <w:r>
        <w:rPr>
          <w:rFonts w:hint="eastAsia" w:ascii="宋体" w:hAnsi="宋体" w:eastAsia="宋体" w:cs="宋体"/>
          <w:color w:val="auto"/>
          <w:szCs w:val="24"/>
          <w:highlight w:val="none"/>
          <w:lang w:val="en-US" w:eastAsia="zh-CN"/>
        </w:rPr>
        <w:t xml:space="preserve">需</w:t>
      </w:r>
      <w:r>
        <w:rPr>
          <w:rFonts w:hint="eastAsia" w:ascii="宋体" w:hAnsi="宋体" w:eastAsia="宋体" w:cs="宋体"/>
          <w:color w:val="auto"/>
          <w:szCs w:val="24"/>
          <w:highlight w:val="none"/>
        </w:rPr>
        <w:t xml:space="preserve">按“</w:t>
      </w:r>
      <w:r>
        <w:rPr>
          <w:rFonts w:hint="eastAsia" w:ascii="宋体" w:hAnsi="宋体" w:eastAsia="宋体" w:cs="宋体"/>
          <w:bCs/>
          <w:color w:val="auto"/>
          <w:szCs w:val="24"/>
          <w:highlight w:val="none"/>
        </w:rPr>
        <w:t xml:space="preserve">分项报价明细表”的格式</w:t>
      </w:r>
      <w:r>
        <w:rPr>
          <w:rFonts w:hint="eastAsia" w:ascii="宋体" w:hAnsi="宋体" w:eastAsia="宋体" w:cs="宋体"/>
          <w:color w:val="auto"/>
          <w:szCs w:val="24"/>
          <w:highlight w:val="none"/>
        </w:rPr>
        <w:t xml:space="preserve">详细报出投标单价</w:t>
      </w:r>
      <w:r>
        <w:rPr>
          <w:rFonts w:hint="eastAsia" w:ascii="宋体" w:hAnsi="宋体" w:eastAsia="宋体" w:cs="宋体"/>
          <w:color w:val="auto"/>
          <w:szCs w:val="24"/>
          <w:highlight w:val="none"/>
          <w:lang w:eastAsia="zh-CN"/>
        </w:rPr>
        <w:t xml:space="preserve">。</w:t>
      </w:r>
      <w:r/>
    </w:p>
    <w:p>
      <w:pPr>
        <w:pStyle w:val="972"/>
        <w:numPr>
          <w:ilvl w:val="0"/>
          <w:numId w:val="0"/>
        </w:numPr>
        <w:ind w:firstLine="480"/>
        <w:spacing w:line="360" w:lineRule="auto"/>
        <w:rPr>
          <w:rFonts w:hAnsi="宋体" w:eastAsia="宋体" w:cs="宋体"/>
          <w:color w:val="auto"/>
          <w:sz w:val="24"/>
          <w:szCs w:val="24"/>
          <w:highlight w:val="none"/>
        </w:rPr>
      </w:pPr>
      <w:r>
        <w:rPr>
          <w:rFonts w:ascii="宋体" w:hAnsi="宋体" w:eastAsia="宋体" w:cs="宋体"/>
          <w:color w:val="auto"/>
          <w:sz w:val="24"/>
          <w:szCs w:val="24"/>
          <w:highlight w:val="none"/>
          <w:lang w:val="en-US" w:eastAsia="zh-CN" w:bidi="ar-SA"/>
        </w:rPr>
        <w:t xml:space="preserve">2.</w:t>
      </w:r>
      <w:r>
        <w:rPr>
          <w:rFonts w:hint="eastAsia" w:hAnsi="宋体" w:eastAsia="宋体" w:cs="宋体"/>
          <w:color w:val="auto"/>
          <w:sz w:val="24"/>
          <w:szCs w:val="24"/>
          <w:highlight w:val="none"/>
        </w:rPr>
        <w:t xml:space="preserve">如果开标一览表（报价表）内容与本表内容计算比例不一致，以开标一览表（报价表）内容为准。</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须遵循政府采购公平竞争、诚实信用原则，遵守《中华人民共和国价格法》《中华人民共和国反不正当竞争法》《禁止价格欺诈行为的规定》等相关法律法规，不得恶意低价，扰乱市场秩序。招标人、评审专家有权核实相关价格，一旦发现存在采用不诚实报价等虚假方式谋职入围的，按“政府采购法”相关规定处理。  </w:t>
      </w:r>
      <w:r/>
    </w:p>
    <w:p>
      <w:pPr>
        <w:rPr>
          <w:rFonts w:ascii="宋体" w:hAnsi="宋体" w:cs="宋体"/>
          <w:b/>
          <w:color w:val="auto"/>
          <w:szCs w:val="21"/>
          <w:highlight w:val="none"/>
        </w:rPr>
      </w:pPr>
      <w:r>
        <w:rPr>
          <w:rFonts w:ascii="宋体" w:hAnsi="宋体" w:cs="宋体"/>
          <w:b/>
          <w:color w:val="auto"/>
          <w:szCs w:val="21"/>
          <w:highlight w:val="none"/>
        </w:rPr>
        <w:br w:type="page" w:clear="all"/>
      </w:r>
      <w:r/>
    </w:p>
    <w:p>
      <w:pPr>
        <w:pStyle w:val="1045"/>
        <w:ind w:firstLine="602"/>
        <w:jc w:val="center"/>
        <w:spacing w:line="360" w:lineRule="auto"/>
        <w:rPr>
          <w:rFonts w:hAnsi="宋体" w:eastAsia="宋体" w:cs="宋体"/>
          <w:b/>
          <w:color w:val="auto"/>
          <w:spacing w:val="20"/>
          <w:sz w:val="24"/>
          <w:szCs w:val="24"/>
          <w:highlight w:val="none"/>
        </w:rPr>
      </w:pPr>
      <w:r>
        <w:rPr>
          <w:rFonts w:hint="eastAsia" w:hAnsi="宋体" w:eastAsia="宋体" w:cs="宋体"/>
          <w:b/>
          <w:color w:val="auto"/>
          <w:sz w:val="30"/>
          <w:szCs w:val="30"/>
          <w:highlight w:val="none"/>
        </w:rPr>
        <w:t xml:space="preserve"> 五、服务要求及</w:t>
      </w:r>
      <w:r>
        <w:rPr>
          <w:rFonts w:hint="eastAsia" w:hAnsi="宋体" w:eastAsia="宋体" w:cs="宋体"/>
          <w:b/>
          <w:bCs/>
          <w:color w:val="auto"/>
          <w:sz w:val="30"/>
          <w:szCs w:val="30"/>
          <w:highlight w:val="none"/>
        </w:rPr>
        <w:t xml:space="preserve">商务条款偏离表</w:t>
      </w:r>
      <w:r/>
    </w:p>
    <w:p>
      <w:pPr>
        <w:jc w:val="center"/>
        <w:keepLines/>
        <w:keepNext/>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服务要求偏离表</w:t>
      </w:r>
      <w:r/>
    </w:p>
    <w:p>
      <w:pPr>
        <w:pStyle w:val="962"/>
        <w:ind w:firstLine="0"/>
        <w:spacing w:line="360" w:lineRule="auto"/>
        <w:tabs>
          <w:tab w:val="left" w:pos="7560" w:leader="none"/>
        </w:tabs>
        <w:rPr>
          <w:rFonts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招标编号∶ </w:t>
      </w:r>
      <w:r>
        <w:rPr>
          <w:rFonts w:hint="eastAsia" w:ascii="宋体" w:hAnsi="宋体" w:eastAsia="宋体" w:cs="宋体"/>
          <w:color w:val="auto"/>
          <w:szCs w:val="24"/>
          <w:highlight w:val="none"/>
        </w:rPr>
        <w:t xml:space="preserve">                                </w:t>
      </w:r>
      <w:r/>
    </w:p>
    <w:tbl>
      <w:tblPr>
        <w:tblStyle w:val="96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980"/>
        <w:gridCol w:w="2406"/>
        <w:gridCol w:w="2329"/>
        <w:gridCol w:w="1705"/>
      </w:tblGrid>
      <w:tr>
        <w:trPr/>
        <w:tc>
          <w:tcPr>
            <w:tcW w:w="465"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66"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      目</w:t>
            </w:r>
            <w:r/>
          </w:p>
        </w:tc>
        <w:tc>
          <w:tcPr>
            <w:tcW w:w="1295"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服务要求</w:t>
            </w:r>
            <w:r/>
          </w:p>
        </w:tc>
        <w:tc>
          <w:tcPr>
            <w:tcW w:w="1254"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W w:w="918"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r>
      <w:tr>
        <w:trPr/>
        <w:tc>
          <w:tcPr>
            <w:tcW w:w="465"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66"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95"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54"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465"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66"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95"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54"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465"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66"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95"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54"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465"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66"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95"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54"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465"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066"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95"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54"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spacing w:line="3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注：</w:t>
      </w:r>
      <w:r>
        <w:rPr>
          <w:rFonts w:hint="eastAsia" w:ascii="宋体" w:hAnsi="宋体" w:eastAsia="宋体" w:cs="宋体"/>
          <w:color w:val="auto"/>
          <w:sz w:val="24"/>
          <w:szCs w:val="24"/>
          <w:highlight w:val="none"/>
        </w:rPr>
        <w:t xml:space="preserve">1.投标人提交的投标文件应在本表中将投标文件实际响应的服务与招标文件的服务部分进行逐项对应列出对比，并在“偏离说明”项下填写以下内容：优于的，填写“正偏离”；符合的，填写“无偏离”；低于的，填写“负偏离”。</w:t>
      </w:r>
      <w:r/>
    </w:p>
    <w:p>
      <w:pPr>
        <w:spacing w:line="3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2.若事项较多，投标人可根据投标内容的实际情况另纸说明。</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供应商：（单位盖章）</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jc w:val="left"/>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keepLines/>
        <w:keepNext/>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商务条款偏离表</w:t>
      </w:r>
      <w:r/>
    </w:p>
    <w:p>
      <w:pPr>
        <w:pStyle w:val="962"/>
        <w:ind w:firstLine="0"/>
        <w:spacing w:line="360" w:lineRule="auto"/>
        <w:tabs>
          <w:tab w:val="left" w:pos="7560" w:leader="none"/>
        </w:tabs>
        <w:rPr>
          <w:rFonts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招标编号∶        </w:t>
      </w:r>
      <w:r>
        <w:rPr>
          <w:rFonts w:hint="eastAsia" w:ascii="宋体" w:hAnsi="宋体" w:eastAsia="宋体" w:cs="宋体"/>
          <w:color w:val="auto"/>
          <w:szCs w:val="24"/>
          <w:highlight w:val="none"/>
        </w:rPr>
        <w:t xml:space="preserve">                           </w:t>
      </w:r>
      <w:r/>
    </w:p>
    <w:tbl>
      <w:tblPr>
        <w:tblStyle w:val="960"/>
        <w:tblW w:w="4997"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815"/>
        <w:gridCol w:w="3003"/>
        <w:gridCol w:w="1991"/>
        <w:gridCol w:w="1872"/>
        <w:gridCol w:w="1601"/>
      </w:tblGrid>
      <w:tr>
        <w:trPr>
          <w:cantSplit/>
          <w:trHeight w:val="80"/>
          <w:tblHeader/>
        </w:trPr>
        <w:tc>
          <w:tcPr>
            <w:tcBorders>
              <w:top w:val="single" w:color="auto" w:sz="8" w:space="0"/>
              <w:left w:val="single" w:color="auto" w:sz="8" w:space="0"/>
              <w:bottom w:val="single" w:color="auto" w:sz="8" w:space="0"/>
              <w:right w:val="single" w:color="auto" w:sz="8" w:space="0"/>
            </w:tcBorders>
            <w:tcW w:w="439" w:type="pct"/>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1617" w:type="pct"/>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1072" w:type="pct"/>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W w:w="1008" w:type="pct"/>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862" w:type="pct"/>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439" w:type="pct"/>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1617" w:type="pct"/>
            <w:textDirection w:val="lrTb"/>
            <w:noWrap w:val="false"/>
          </w:tcPr>
          <w:p>
            <w:pPr>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服务期限</w:t>
            </w:r>
            <w:r/>
          </w:p>
        </w:tc>
        <w:tc>
          <w:tcPr>
            <w:tcBorders>
              <w:top w:val="single" w:color="auto" w:sz="8" w:space="0"/>
              <w:left w:val="single" w:color="auto" w:sz="8" w:space="0"/>
              <w:bottom w:val="single" w:color="auto" w:sz="8" w:space="0"/>
              <w:right w:val="single" w:color="auto" w:sz="8" w:space="0"/>
            </w:tcBorders>
            <w:tcW w:w="1072"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8"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862"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439" w:type="pct"/>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1617" w:type="pct"/>
            <w:textDirection w:val="lrTb"/>
            <w:noWrap w:val="false"/>
          </w:tcPr>
          <w:p>
            <w:pPr>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服务地点</w:t>
            </w:r>
            <w:r/>
          </w:p>
        </w:tc>
        <w:tc>
          <w:tcPr>
            <w:tcBorders>
              <w:top w:val="single" w:color="auto" w:sz="8" w:space="0"/>
              <w:left w:val="single" w:color="auto" w:sz="8" w:space="0"/>
              <w:bottom w:val="single" w:color="auto" w:sz="8" w:space="0"/>
              <w:right w:val="single" w:color="auto" w:sz="8" w:space="0"/>
            </w:tcBorders>
            <w:tcW w:w="1072"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8"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862"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439" w:type="pct"/>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1617" w:type="pct"/>
            <w:textDirection w:val="lrTb"/>
            <w:noWrap w:val="false"/>
          </w:tcPr>
          <w:p>
            <w:pPr>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072"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8"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862"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439" w:type="pct"/>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1617" w:type="pct"/>
            <w:textDirection w:val="lrTb"/>
            <w:noWrap w:val="false"/>
          </w:tcPr>
          <w:p>
            <w:pPr>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072"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8"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862"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spacing w:line="3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注：</w:t>
      </w:r>
      <w:r>
        <w:rPr>
          <w:rFonts w:hint="eastAsia" w:ascii="宋体" w:hAnsi="宋体" w:eastAsia="宋体" w:cs="宋体"/>
          <w:color w:val="auto"/>
          <w:sz w:val="24"/>
          <w:szCs w:val="24"/>
          <w:highlight w:val="none"/>
        </w:rPr>
        <w:t xml:space="preserve">1.供应商提交的投标文件应在本表中将投标文件实际响应的商务部分与招标文件的商务部分进行逐项对应列出对比，并在“偏离说明”项下填写以下内容：优于的，填写“正偏离”；符合的，填写“无偏离”；低于的，填写“负偏离”。</w:t>
      </w:r>
      <w:r/>
    </w:p>
    <w:p>
      <w:pPr>
        <w:spacing w:line="3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2.若事项较多，投标人可根据投标内容的实际情况另纸说明。</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供应商：（单位盖章）</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widowControl/>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六、项目服务方案</w:t>
      </w:r>
      <w:r/>
    </w:p>
    <w:tbl>
      <w:tblPr>
        <w:tblStyle w:val="9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096"/>
        </w:trPr>
        <w:tc>
          <w:tcPr>
            <w:tcW w:w="5000" w:type="pct"/>
            <w:textDirection w:val="lrTb"/>
            <w:noWrap w:val="false"/>
          </w:tcPr>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提示：1、供应商应针对本次招标项目特点制定详细的实施方案。</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2、供应商可根据自身情况编写，本页不够可另加页附后。</w:t>
            </w:r>
            <w:r/>
          </w:p>
        </w:tc>
      </w:tr>
      <w:tr>
        <w:trPr>
          <w:trHeight w:val="7745"/>
        </w:trPr>
        <w:tc>
          <w:tcPr>
            <w:tcW w:w="5000" w:type="pct"/>
            <w:textDirection w:val="lrTb"/>
            <w:noWrap w:val="false"/>
          </w:tcPr>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958"/>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单位名称（盖章）： </w:t>
            </w:r>
            <w:r/>
          </w:p>
          <w:p>
            <w:pPr>
              <w:pStyle w:val="958"/>
              <w:rPr>
                <w:rFonts w:ascii="宋体" w:hAnsi="宋体" w:eastAsia="宋体" w:cs="宋体"/>
                <w:color w:val="auto"/>
                <w:highlight w:val="none"/>
              </w:rPr>
            </w:pPr>
            <w:r>
              <w:rPr>
                <w:rFonts w:ascii="宋体" w:hAnsi="宋体" w:eastAsia="宋体" w:cs="宋体"/>
                <w:color w:val="auto"/>
                <w:highlight w:val="none"/>
              </w:rPr>
            </w:r>
            <w:r/>
          </w:p>
        </w:tc>
      </w:tr>
    </w:tbl>
    <w:p>
      <w:pPr>
        <w:pStyle w:val="957"/>
        <w:jc w:val="center"/>
        <w:spacing w:line="360" w:lineRule="auto"/>
        <w:rPr>
          <w:rFonts w:ascii="宋体" w:hAnsi="宋体" w:cs="宋体"/>
          <w:color w:val="auto"/>
          <w:sz w:val="30"/>
          <w:szCs w:val="30"/>
          <w:highlight w:val="none"/>
        </w:rPr>
      </w:pPr>
      <w:r>
        <w:rPr>
          <w:rFonts w:hint="eastAsia" w:ascii="宋体" w:hAnsi="宋体" w:cs="宋体"/>
          <w:color w:val="auto"/>
          <w:highlight w:val="none"/>
        </w:rPr>
        <w:br w:type="page" w:clear="all"/>
      </w:r>
      <w:bookmarkStart w:id="22" w:name="_Toc160701723"/>
      <w:r>
        <w:rPr>
          <w:rFonts w:hint="eastAsia" w:ascii="宋体" w:hAnsi="宋体" w:cs="宋体"/>
          <w:color w:val="auto"/>
          <w:sz w:val="30"/>
          <w:szCs w:val="30"/>
          <w:highlight w:val="none"/>
        </w:rPr>
        <w:t xml:space="preserve">七、项目人员一览表</w:t>
      </w:r>
      <w:bookmarkEnd w:id="22"/>
      <w:r/>
      <w:r/>
    </w:p>
    <w:p>
      <w:pPr>
        <w:spacing w:line="360" w:lineRule="auto"/>
        <w:rPr>
          <w:rFonts w:ascii="宋体" w:hAnsi="宋体" w:eastAsia="宋体" w:cs="宋体"/>
          <w:color w:val="auto"/>
          <w:sz w:val="24"/>
          <w:highlight w:val="none"/>
        </w:rPr>
      </w:pPr>
      <w:r>
        <w:rPr>
          <w:rFonts w:hint="eastAsia" w:ascii="宋体" w:hAnsi="宋体" w:eastAsia="宋体" w:cs="宋体"/>
          <w:b/>
          <w:color w:val="auto"/>
          <w:sz w:val="24"/>
          <w:szCs w:val="24"/>
          <w:highlight w:val="none"/>
        </w:rPr>
        <w:t xml:space="preserve">7.1项目负责人情况一览表</w:t>
      </w:r>
      <w:r/>
    </w:p>
    <w:tbl>
      <w:tblPr>
        <w:tblStyle w:val="960"/>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633"/>
        <w:gridCol w:w="1869"/>
        <w:gridCol w:w="1345"/>
        <w:gridCol w:w="1075"/>
        <w:gridCol w:w="1095"/>
        <w:gridCol w:w="1267"/>
        <w:gridCol w:w="1840"/>
      </w:tblGrid>
      <w:tr>
        <w:trPr>
          <w:cantSplit/>
          <w:trHeight w:val="594"/>
        </w:trPr>
        <w:tc>
          <w:tcPr>
            <w:tcW w:w="347" w:type="pct"/>
            <w:vAlign w:val="center"/>
            <w:textDirection w:val="lrTb"/>
            <w:noWrap w:val="false"/>
          </w:tcPr>
          <w:p>
            <w:pPr>
              <w:pStyle w:val="962"/>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W w:w="1024" w:type="pct"/>
            <w:vAlign w:val="center"/>
            <w:textDirection w:val="lrTb"/>
            <w:noWrap w:val="false"/>
          </w:tcPr>
          <w:p>
            <w:pPr>
              <w:pStyle w:val="962"/>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姓      名</w:t>
            </w:r>
            <w:r/>
          </w:p>
        </w:tc>
        <w:tc>
          <w:tcPr>
            <w:gridSpan w:val="2"/>
            <w:tcW w:w="1326" w:type="pct"/>
            <w:vAlign w:val="center"/>
            <w:textDirection w:val="lrTb"/>
            <w:noWrap w:val="false"/>
          </w:tcPr>
          <w:p>
            <w:pPr>
              <w:pStyle w:val="962"/>
              <w:ind w:firstLine="0"/>
              <w:jc w:val="both"/>
              <w:rPr>
                <w:rFonts w:ascii="宋体" w:hAnsi="宋体" w:eastAsia="宋体" w:cs="宋体"/>
                <w:color w:val="auto"/>
                <w:highlight w:val="none"/>
              </w:rPr>
            </w:pPr>
            <w:r>
              <w:rPr>
                <w:rFonts w:ascii="宋体" w:hAnsi="宋体" w:eastAsia="宋体" w:cs="宋体"/>
                <w:color w:val="auto"/>
                <w:highlight w:val="none"/>
              </w:rPr>
            </w:r>
            <w:r/>
          </w:p>
        </w:tc>
        <w:tc>
          <w:tcPr>
            <w:tcW w:w="599" w:type="pct"/>
            <w:vAlign w:val="center"/>
            <w:textDirection w:val="lrTb"/>
            <w:noWrap w:val="false"/>
          </w:tcPr>
          <w:p>
            <w:pPr>
              <w:pStyle w:val="962"/>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性   别</w:t>
            </w:r>
            <w:r/>
          </w:p>
        </w:tc>
        <w:tc>
          <w:tcPr>
            <w:gridSpan w:val="2"/>
            <w:tcW w:w="1701" w:type="pct"/>
            <w:vAlign w:val="center"/>
            <w:textDirection w:val="lrTb"/>
            <w:noWrap w:val="false"/>
          </w:tcPr>
          <w:p>
            <w:pPr>
              <w:pStyle w:val="962"/>
              <w:ind w:firstLine="0"/>
              <w:jc w:val="both"/>
              <w:rPr>
                <w:rFonts w:ascii="宋体" w:hAnsi="宋体" w:eastAsia="宋体" w:cs="宋体"/>
                <w:color w:val="auto"/>
                <w:highlight w:val="none"/>
              </w:rPr>
            </w:pPr>
            <w:r>
              <w:rPr>
                <w:rFonts w:ascii="宋体" w:hAnsi="宋体" w:eastAsia="宋体" w:cs="宋体"/>
                <w:color w:val="auto"/>
                <w:highlight w:val="none"/>
              </w:rPr>
            </w:r>
            <w:r/>
          </w:p>
        </w:tc>
      </w:tr>
      <w:tr>
        <w:trPr>
          <w:trHeight w:val="645"/>
        </w:trPr>
        <w:tc>
          <w:tcPr>
            <w:tcW w:w="347" w:type="pct"/>
            <w:vAlign w:val="center"/>
            <w:textDirection w:val="lrTb"/>
            <w:noWrap w:val="false"/>
          </w:tcPr>
          <w:p>
            <w:pPr>
              <w:pStyle w:val="962"/>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W w:w="1024" w:type="pct"/>
            <w:vAlign w:val="center"/>
            <w:textDirection w:val="lrTb"/>
            <w:noWrap w:val="false"/>
          </w:tcPr>
          <w:p>
            <w:pPr>
              <w:pStyle w:val="962"/>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身份证号码</w:t>
            </w:r>
            <w:r/>
          </w:p>
        </w:tc>
        <w:tc>
          <w:tcPr>
            <w:gridSpan w:val="3"/>
            <w:tcW w:w="1925" w:type="pct"/>
            <w:vAlign w:val="center"/>
            <w:textDirection w:val="lrTb"/>
            <w:noWrap w:val="false"/>
          </w:tcPr>
          <w:p>
            <w:pPr>
              <w:pStyle w:val="962"/>
              <w:ind w:firstLine="0"/>
              <w:jc w:val="both"/>
              <w:rPr>
                <w:rFonts w:ascii="宋体" w:hAnsi="宋体" w:eastAsia="宋体" w:cs="宋体"/>
                <w:color w:val="auto"/>
                <w:highlight w:val="none"/>
              </w:rPr>
            </w:pPr>
            <w:r>
              <w:rPr>
                <w:rFonts w:ascii="宋体" w:hAnsi="宋体" w:eastAsia="宋体" w:cs="宋体"/>
                <w:color w:val="auto"/>
                <w:highlight w:val="none"/>
              </w:rPr>
            </w:r>
            <w:r/>
          </w:p>
        </w:tc>
        <w:tc>
          <w:tcPr>
            <w:tcW w:w="694" w:type="pct"/>
            <w:vAlign w:val="center"/>
            <w:textDirection w:val="lrTb"/>
            <w:noWrap w:val="false"/>
          </w:tcPr>
          <w:p>
            <w:pPr>
              <w:pStyle w:val="962"/>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出生年月</w:t>
            </w:r>
            <w:r/>
          </w:p>
        </w:tc>
        <w:tc>
          <w:tcPr>
            <w:tcW w:w="1007" w:type="pct"/>
            <w:vAlign w:val="center"/>
            <w:textDirection w:val="lrTb"/>
            <w:noWrap w:val="false"/>
          </w:tcPr>
          <w:p>
            <w:pPr>
              <w:pStyle w:val="962"/>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年   月</w:t>
            </w:r>
            <w:r/>
          </w:p>
        </w:tc>
      </w:tr>
      <w:tr>
        <w:trPr>
          <w:trHeight w:val="645"/>
        </w:trPr>
        <w:tc>
          <w:tcPr>
            <w:tcW w:w="347" w:type="pct"/>
            <w:vAlign w:val="center"/>
            <w:textDirection w:val="lrTb"/>
            <w:noWrap w:val="false"/>
          </w:tcPr>
          <w:p>
            <w:pPr>
              <w:pStyle w:val="962"/>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3</w:t>
            </w:r>
            <w:r/>
          </w:p>
        </w:tc>
        <w:tc>
          <w:tcPr>
            <w:gridSpan w:val="2"/>
            <w:tcW w:w="1761" w:type="pct"/>
            <w:vAlign w:val="center"/>
            <w:textDirection w:val="lrTb"/>
            <w:noWrap w:val="false"/>
          </w:tcPr>
          <w:p>
            <w:pPr>
              <w:pStyle w:val="962"/>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联系电话：</w:t>
            </w:r>
            <w:r/>
          </w:p>
        </w:tc>
        <w:tc>
          <w:tcPr>
            <w:gridSpan w:val="2"/>
            <w:tcW w:w="1189" w:type="pct"/>
            <w:vAlign w:val="center"/>
            <w:textDirection w:val="lrTb"/>
            <w:noWrap w:val="false"/>
          </w:tcPr>
          <w:p>
            <w:pPr>
              <w:pStyle w:val="962"/>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传真：</w:t>
            </w:r>
            <w:r/>
          </w:p>
        </w:tc>
        <w:tc>
          <w:tcPr>
            <w:gridSpan w:val="2"/>
            <w:tcW w:w="1701" w:type="pct"/>
            <w:vAlign w:val="center"/>
            <w:textDirection w:val="lrTb"/>
            <w:noWrap w:val="false"/>
          </w:tcPr>
          <w:p>
            <w:pPr>
              <w:pStyle w:val="962"/>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电子邮箱：</w:t>
            </w:r>
            <w:r/>
          </w:p>
        </w:tc>
      </w:tr>
      <w:tr>
        <w:trPr>
          <w:cantSplit/>
          <w:trHeight w:val="645"/>
        </w:trPr>
        <w:tc>
          <w:tcPr>
            <w:tcW w:w="347" w:type="pct"/>
            <w:vAlign w:val="center"/>
            <w:textDirection w:val="lrTb"/>
            <w:noWrap w:val="false"/>
          </w:tcPr>
          <w:p>
            <w:pPr>
              <w:pStyle w:val="962"/>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4</w:t>
            </w:r>
            <w:r/>
          </w:p>
        </w:tc>
        <w:tc>
          <w:tcPr>
            <w:gridSpan w:val="6"/>
            <w:tcW w:w="4652" w:type="pct"/>
            <w:vAlign w:val="center"/>
            <w:textDirection w:val="lrTb"/>
            <w:noWrap w:val="false"/>
          </w:tcPr>
          <w:p>
            <w:pPr>
              <w:pStyle w:val="962"/>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从事类似项目工作时间：</w:t>
            </w:r>
            <w:r/>
          </w:p>
        </w:tc>
      </w:tr>
      <w:tr>
        <w:trPr>
          <w:cantSplit/>
          <w:trHeight w:val="625"/>
        </w:trPr>
        <w:tc>
          <w:tcPr>
            <w:tcW w:w="347" w:type="pct"/>
            <w:vAlign w:val="center"/>
            <w:textDirection w:val="lrTb"/>
            <w:noWrap w:val="false"/>
          </w:tcPr>
          <w:p>
            <w:pPr>
              <w:pStyle w:val="962"/>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5</w:t>
            </w:r>
            <w:r/>
          </w:p>
        </w:tc>
        <w:tc>
          <w:tcPr>
            <w:gridSpan w:val="6"/>
            <w:tcW w:w="4652" w:type="pct"/>
            <w:vAlign w:val="center"/>
            <w:textDirection w:val="lrTb"/>
            <w:noWrap w:val="false"/>
          </w:tcPr>
          <w:p>
            <w:pPr>
              <w:pStyle w:val="962"/>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拥有的职称：</w:t>
            </w:r>
            <w:r/>
          </w:p>
        </w:tc>
      </w:tr>
      <w:tr>
        <w:trPr>
          <w:trHeight w:val="2758"/>
        </w:trPr>
        <w:tc>
          <w:tcPr>
            <w:tcW w:w="347" w:type="pct"/>
            <w:vAlign w:val="center"/>
            <w:textDirection w:val="lrTb"/>
            <w:noWrap w:val="false"/>
          </w:tcPr>
          <w:p>
            <w:pPr>
              <w:jc w:val="center"/>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6</w:t>
            </w:r>
            <w:r/>
          </w:p>
        </w:tc>
        <w:tc>
          <w:tcPr>
            <w:gridSpan w:val="6"/>
            <w:tcW w:w="4652" w:type="pct"/>
            <w:textDirection w:val="lrTb"/>
            <w:noWrap w:val="false"/>
          </w:tcPr>
          <w:p>
            <w:pPr>
              <w:pStyle w:val="962"/>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本公司承诺：</w:t>
            </w:r>
            <w:r/>
          </w:p>
          <w:p>
            <w:pPr>
              <w:pStyle w:val="962"/>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该项目负责人在我单位已任职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年以上且在从业经历中没有任何违法、违规而被查处的不良记录。</w:t>
            </w:r>
            <w:r/>
          </w:p>
        </w:tc>
      </w:tr>
      <w:tr>
        <w:trPr>
          <w:trHeight w:val="2846"/>
        </w:trPr>
        <w:tc>
          <w:tcPr>
            <w:tcW w:w="347" w:type="pct"/>
            <w:vAlign w:val="center"/>
            <w:textDirection w:val="lrTb"/>
            <w:noWrap w:val="false"/>
          </w:tcPr>
          <w:p>
            <w:pPr>
              <w:jc w:val="center"/>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7</w:t>
            </w:r>
            <w:r/>
          </w:p>
        </w:tc>
        <w:tc>
          <w:tcPr>
            <w:gridSpan w:val="6"/>
            <w:tcW w:w="4652" w:type="pct"/>
            <w:textDirection w:val="lrTb"/>
            <w:noWrap w:val="false"/>
          </w:tcPr>
          <w:p>
            <w:pPr>
              <w:pStyle w:val="962"/>
              <w:ind w:firstLine="0"/>
              <w:jc w:val="both"/>
              <w:rPr>
                <w:rFonts w:ascii="宋体" w:hAnsi="宋体" w:eastAsia="宋体" w:cs="宋体"/>
                <w:color w:val="auto"/>
                <w:sz w:val="21"/>
                <w:highlight w:val="none"/>
              </w:rPr>
            </w:pPr>
            <w:r>
              <w:rPr>
                <w:rFonts w:hint="eastAsia" w:ascii="宋体" w:hAnsi="宋体" w:eastAsia="宋体" w:cs="宋体"/>
                <w:color w:val="auto"/>
                <w:highlight w:val="none"/>
              </w:rPr>
              <w:t xml:space="preserve">其他需要说明的情况</w:t>
            </w:r>
            <w:r/>
          </w:p>
        </w:tc>
      </w:tr>
    </w:tbl>
    <w:p>
      <w:pPr>
        <w:spacing w:line="360" w:lineRule="auto"/>
        <w:rPr>
          <w:rFonts w:ascii="宋体" w:hAnsi="宋体" w:eastAsia="宋体" w:cs="宋体"/>
          <w:color w:val="auto"/>
          <w:sz w:val="24"/>
          <w:highlight w:val="none"/>
        </w:rPr>
      </w:pPr>
      <w:r>
        <w:rPr>
          <w:rFonts w:hint="eastAsia" w:ascii="宋体" w:hAnsi="宋体" w:eastAsia="宋体" w:cs="宋体"/>
          <w:color w:val="auto"/>
          <w:sz w:val="24"/>
          <w:szCs w:val="24"/>
          <w:highlight w:val="none"/>
        </w:rPr>
        <w:t xml:space="preserve">备注：</w:t>
      </w:r>
      <w:r>
        <w:rPr>
          <w:rFonts w:hint="eastAsia" w:ascii="宋体" w:hAnsi="宋体" w:eastAsia="宋体" w:cs="宋体"/>
          <w:color w:val="auto"/>
          <w:sz w:val="24"/>
          <w:highlight w:val="none"/>
        </w:rPr>
        <w:t xml:space="preserve">投标人应在投标文件中明确本项目负责人的姓名、附资格证书（如有）扫描件并提供最新一期社保缴纳证明。</w:t>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供应商：（单位盖章）</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Cs/>
          <w:color w:val="auto"/>
          <w:highlight w:val="none"/>
          <w:lang w:val="zh-CN"/>
        </w:rPr>
      </w:pPr>
      <w:r>
        <w:rPr>
          <w:rFonts w:hint="eastAsia" w:ascii="宋体" w:hAnsi="宋体" w:eastAsia="宋体" w:cs="宋体"/>
          <w:bCs/>
          <w:color w:val="auto"/>
          <w:highlight w:val="none"/>
          <w:lang w:val="zh-CN"/>
        </w:rPr>
        <w:br w:type="page" w:clear="all"/>
      </w:r>
      <w:r/>
    </w:p>
    <w:p>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7.2</w:t>
      </w:r>
      <w:r>
        <w:rPr>
          <w:rFonts w:hint="eastAsia" w:ascii="宋体" w:hAnsi="宋体" w:eastAsia="宋体" w:cs="宋体"/>
          <w:b/>
          <w:color w:val="auto"/>
          <w:sz w:val="24"/>
          <w:szCs w:val="24"/>
          <w:highlight w:val="none"/>
          <w:lang w:val="zh-CN"/>
        </w:rPr>
        <w:t xml:space="preserve">人员配备一览表</w:t>
      </w:r>
      <w:r>
        <w:rPr>
          <w:rFonts w:hint="eastAsia" w:ascii="宋体" w:hAnsi="宋体" w:eastAsia="宋体" w:cs="宋体"/>
          <w:b/>
          <w:color w:val="auto"/>
          <w:sz w:val="24"/>
          <w:szCs w:val="24"/>
          <w:highlight w:val="none"/>
        </w:rPr>
        <w:t xml:space="preserve"> </w:t>
      </w:r>
      <w:r/>
    </w:p>
    <w:p>
      <w:pPr>
        <w:pStyle w:val="1053"/>
        <w:ind w:firstLine="0"/>
        <w:spacing w:line="360" w:lineRule="auto"/>
        <w:rPr>
          <w:rFonts w:ascii="宋体" w:hAnsi="宋体" w:cs="宋体"/>
          <w:b/>
          <w:color w:val="auto"/>
          <w:highlight w:val="none"/>
        </w:rPr>
      </w:pPr>
      <w:r>
        <w:rPr>
          <w:rFonts w:hint="eastAsia" w:ascii="宋体" w:hAnsi="宋体" w:cs="宋体"/>
          <w:color w:val="auto"/>
          <w:highlight w:val="none"/>
        </w:rPr>
        <w:t xml:space="preserve">招标编号：</w:t>
      </w:r>
      <w:r/>
    </w:p>
    <w:tbl>
      <w:tblPr>
        <w:tblStyle w:val="96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6"/>
        <w:gridCol w:w="855"/>
        <w:gridCol w:w="641"/>
        <w:gridCol w:w="1498"/>
        <w:gridCol w:w="641"/>
        <w:gridCol w:w="641"/>
        <w:gridCol w:w="641"/>
        <w:gridCol w:w="1069"/>
        <w:gridCol w:w="641"/>
        <w:gridCol w:w="1069"/>
        <w:gridCol w:w="1069"/>
      </w:tblGrid>
      <w:tr>
        <w:trPr>
          <w:trHeight w:val="627"/>
        </w:trPr>
        <w:tc>
          <w:tcPr>
            <w:tcW w:w="278"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460"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W w:w="806"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身份证号码</w:t>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57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所学</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w:t>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57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相关工作经验年限</w:t>
            </w:r>
            <w:r/>
          </w:p>
        </w:tc>
        <w:tc>
          <w:tcPr>
            <w:tcW w:w="57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持证</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情况</w:t>
            </w:r>
            <w:r/>
          </w:p>
        </w:tc>
      </w:tr>
      <w:tr>
        <w:trPr>
          <w:trHeight w:val="627"/>
        </w:trPr>
        <w:tc>
          <w:tcPr>
            <w:tcW w:w="278"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60"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806"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27"/>
        </w:trPr>
        <w:tc>
          <w:tcPr>
            <w:tcW w:w="278"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460"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806"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27"/>
        </w:trPr>
        <w:tc>
          <w:tcPr>
            <w:tcW w:w="278"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460"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806"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27"/>
        </w:trPr>
        <w:tc>
          <w:tcPr>
            <w:tcW w:w="278"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460"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806"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27"/>
        </w:trPr>
        <w:tc>
          <w:tcPr>
            <w:tcW w:w="278"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460"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806"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供应商：（单位盖章）</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spacing w:before="100" w:beforeAutospacing="1" w:after="100" w:afterAutospacing="1"/>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62"/>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pStyle w:val="962"/>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pStyle w:val="962"/>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pStyle w:val="962"/>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pStyle w:val="962"/>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pStyle w:val="962"/>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br w:type="page" w:clear="all"/>
      </w:r>
      <w:r/>
    </w:p>
    <w:p>
      <w:pPr>
        <w:rPr>
          <w:color w:val="auto"/>
          <w:highlight w:val="none"/>
        </w:rPr>
      </w:pPr>
      <w:r>
        <w:rPr>
          <w:color w:val="auto"/>
          <w:highlight w:val="none"/>
        </w:rPr>
      </w:r>
      <w:bookmarkEnd w:id="21"/>
      <w:r/>
      <w:r/>
    </w:p>
    <w:p>
      <w:pPr>
        <w:pStyle w:val="957"/>
        <w:jc w:val="center"/>
        <w:spacing w:line="480" w:lineRule="exact"/>
        <w:rPr>
          <w:rFonts w:ascii="宋体" w:hAnsi="宋体" w:cs="宋体"/>
          <w:color w:val="auto"/>
          <w:highlight w:val="none"/>
        </w:rPr>
      </w:pPr>
      <w:r/>
      <w:bookmarkStart w:id="23" w:name="_Toc160701724"/>
      <w:r>
        <w:rPr>
          <w:rFonts w:hint="eastAsia" w:ascii="宋体" w:hAnsi="宋体" w:cs="宋体"/>
          <w:color w:val="auto"/>
          <w:sz w:val="30"/>
          <w:szCs w:val="30"/>
          <w:highlight w:val="none"/>
        </w:rPr>
        <w:t xml:space="preserve">八、资格证明文件</w:t>
      </w:r>
      <w:bookmarkEnd w:id="23"/>
      <w:r/>
      <w:r/>
    </w:p>
    <w:p>
      <w:pPr>
        <w:rPr>
          <w:rFonts w:ascii="宋体" w:hAnsi="宋体" w:eastAsia="宋体" w:cs="宋体"/>
          <w:b/>
          <w:bCs/>
          <w:color w:val="auto"/>
          <w:sz w:val="24"/>
          <w:highlight w:val="none"/>
          <w:lang w:val="zh-CN"/>
        </w:rPr>
      </w:pPr>
      <w:r/>
      <w:bookmarkStart w:id="24" w:name="_Toc160701725"/>
      <w:r>
        <w:rPr>
          <w:rFonts w:ascii="宋体" w:hAnsi="宋体" w:eastAsia="宋体" w:cs="宋体"/>
          <w:b/>
          <w:bCs/>
          <w:color w:val="auto"/>
          <w:sz w:val="24"/>
          <w:highlight w:val="none"/>
          <w:lang w:val="zh-CN"/>
        </w:rPr>
        <w:t xml:space="preserve">8.1、关于资格文件的声明函</w:t>
      </w:r>
      <w:bookmarkEnd w:id="24"/>
      <w:r/>
      <w:r/>
    </w:p>
    <w:p>
      <w:pPr>
        <w:pStyle w:val="962"/>
        <w:ind w:firstLine="0"/>
        <w:rPr>
          <w:rFonts w:ascii="宋体" w:hAnsi="宋体" w:eastAsia="宋体" w:cs="宋体"/>
          <w:b/>
          <w:color w:val="auto"/>
          <w:highlight w:val="none"/>
        </w:rPr>
      </w:pPr>
      <w:r>
        <w:rPr>
          <w:rFonts w:ascii="宋体" w:hAnsi="宋体" w:eastAsia="宋体" w:cs="宋体"/>
          <w:b/>
          <w:color w:val="auto"/>
          <w:highlight w:val="none"/>
        </w:rPr>
      </w:r>
      <w:r/>
    </w:p>
    <w:p>
      <w:pPr>
        <w:pStyle w:val="962"/>
        <w:ind w:firstLine="0"/>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关于资格文件的声明函</w:t>
      </w:r>
      <w:r/>
    </w:p>
    <w:p>
      <w:pPr>
        <w:pStyle w:val="962"/>
        <w:ind w:firstLine="0"/>
        <w:jc w:val="center"/>
        <w:rPr>
          <w:rFonts w:ascii="宋体" w:hAnsi="宋体" w:eastAsia="宋体" w:cs="宋体"/>
          <w:color w:val="auto"/>
          <w:highlight w:val="none"/>
        </w:rPr>
      </w:pPr>
      <w:r>
        <w:rPr>
          <w:rFonts w:ascii="宋体" w:hAnsi="宋体" w:eastAsia="宋体" w:cs="宋体"/>
          <w:color w:val="auto"/>
          <w:highlight w:val="none"/>
        </w:rPr>
      </w:r>
      <w:r/>
    </w:p>
    <w:p>
      <w:pPr>
        <w:pStyle w:val="962"/>
        <w:ind w:firstLine="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62"/>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1、本公司愿就由贵公司组织实施的编号为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962"/>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2、我方已知晓竞争性招标文件要求并认真审核自身情况，在此郑重声明，我方遵守如下条款的规定：</w:t>
      </w:r>
      <w:r/>
    </w:p>
    <w:p>
      <w:pPr>
        <w:pStyle w:val="962"/>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（1）除单一来源采购项目外，为采购项目提供整体设计、规范编制或者项目管理、监理、检测等服务的供应商，不得再参加该采购项目的其他采购活动。</w:t>
      </w:r>
      <w:r/>
    </w:p>
    <w:p>
      <w:pPr>
        <w:pStyle w:val="962"/>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962"/>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本声明如有虚假或不实之处，我方将失去合格供应商资格。</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供应商：（单位盖章）</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spacing w:before="100" w:beforeAutospacing="1" w:after="100" w:afterAutospacing="1"/>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62"/>
        <w:ind w:firstLine="0"/>
        <w:spacing w:line="400" w:lineRule="exact"/>
        <w:rPr>
          <w:rFonts w:ascii="宋体" w:hAnsi="宋体" w:eastAsia="宋体" w:cs="宋体"/>
          <w:color w:val="auto"/>
          <w:highlight w:val="none"/>
        </w:rPr>
      </w:pPr>
      <w:r>
        <w:rPr>
          <w:rFonts w:ascii="宋体" w:hAnsi="宋体" w:eastAsia="宋体" w:cs="宋体"/>
          <w:color w:val="auto"/>
          <w:highlight w:val="none"/>
        </w:rPr>
      </w:r>
      <w:r/>
    </w:p>
    <w:p>
      <w:pPr>
        <w:pStyle w:val="1023"/>
        <w:rPr>
          <w:rFonts w:ascii="宋体" w:hAnsi="宋体" w:eastAsia="宋体" w:cs="宋体"/>
          <w:color w:val="auto"/>
          <w:sz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rPr>
        <w:t xml:space="preserve">8.2供应商</w:t>
      </w:r>
      <w:r>
        <w:rPr>
          <w:rFonts w:hint="eastAsia" w:ascii="宋体" w:hAnsi="宋体" w:eastAsia="宋体" w:cs="宋体"/>
          <w:color w:val="auto"/>
          <w:sz w:val="24"/>
          <w:highlight w:val="none"/>
          <w:lang w:val="zh-CN"/>
        </w:rPr>
        <w:t xml:space="preserve">与其他单位存在控股、管理关系情况表</w:t>
      </w:r>
      <w:r/>
    </w:p>
    <w:p>
      <w:pPr>
        <w:ind w:firstLine="482"/>
        <w:jc w:val="center"/>
        <w:spacing w:line="360" w:lineRule="auto"/>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供应商</w:t>
      </w:r>
      <w:r>
        <w:rPr>
          <w:rFonts w:hint="eastAsia" w:ascii="宋体" w:hAnsi="宋体" w:eastAsia="宋体" w:cs="宋体"/>
          <w:b/>
          <w:color w:val="auto"/>
          <w:sz w:val="24"/>
          <w:highlight w:val="none"/>
          <w:lang w:val="zh-CN"/>
        </w:rPr>
        <w:t xml:space="preserve">与其他单位存在控股、管理关系情况表</w:t>
      </w:r>
      <w:r/>
    </w:p>
    <w:p>
      <w:pPr>
        <w:pStyle w:val="1058"/>
        <w:ind w:firstLine="0"/>
        <w:rPr>
          <w:rFonts w:ascii="宋体" w:hAnsi="宋体" w:eastAsia="宋体" w:cs="宋体"/>
          <w:color w:val="auto"/>
          <w:highlight w:val="none"/>
        </w:rPr>
      </w:pPr>
      <w:r>
        <w:rPr>
          <w:rFonts w:hint="eastAsia" w:ascii="宋体" w:hAnsi="宋体" w:eastAsia="宋体" w:cs="宋体"/>
          <w:color w:val="auto"/>
          <w:highlight w:val="none"/>
        </w:rPr>
        <w:t xml:space="preserve">采购编号：</w:t>
      </w:r>
      <w:r/>
    </w:p>
    <w:tbl>
      <w:tblPr>
        <w:tblStyle w:val="96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53"/>
        </w:trPr>
        <w:tc>
          <w:tcPr>
            <w:tcW w:w="2500" w:type="pct"/>
            <w:textDirection w:val="lrTb"/>
            <w:noWrap w:val="false"/>
          </w:tcPr>
          <w:p>
            <w:pPr>
              <w:pStyle w:val="1052"/>
              <w:ind w:firstLine="0"/>
              <w:jc w:val="center"/>
              <w:rPr>
                <w:rFonts w:hAnsi="宋体" w:cs="宋体"/>
                <w:color w:val="auto"/>
                <w:sz w:val="24"/>
                <w:highlight w:val="none"/>
              </w:rPr>
            </w:pPr>
            <w:r>
              <w:rPr>
                <w:rFonts w:hint="eastAsia" w:hAnsi="宋体" w:cs="宋体"/>
                <w:color w:val="auto"/>
                <w:sz w:val="24"/>
                <w:highlight w:val="none"/>
                <w:lang w:val="zh-CN"/>
              </w:rPr>
              <w:t xml:space="preserve">与</w:t>
            </w:r>
            <w:r>
              <w:rPr>
                <w:rFonts w:hint="eastAsia" w:hAnsi="宋体" w:cs="宋体"/>
                <w:color w:val="auto"/>
                <w:sz w:val="24"/>
                <w:highlight w:val="none"/>
              </w:rPr>
              <w:t xml:space="preserve">供应商</w:t>
            </w:r>
            <w:r>
              <w:rPr>
                <w:rFonts w:hint="eastAsia" w:hAnsi="宋体" w:cs="宋体"/>
                <w:color w:val="auto"/>
                <w:sz w:val="24"/>
                <w:highlight w:val="none"/>
                <w:lang w:val="zh-CN"/>
              </w:rPr>
              <w:t xml:space="preserve">存在控股、管理关系的单位名称</w:t>
            </w:r>
            <w:r/>
          </w:p>
        </w:tc>
        <w:tc>
          <w:tcPr>
            <w:tcW w:w="2500" w:type="pct"/>
            <w:textDirection w:val="lrTb"/>
            <w:noWrap w:val="false"/>
          </w:tcPr>
          <w:p>
            <w:pPr>
              <w:pStyle w:val="1052"/>
              <w:jc w:val="center"/>
              <w:rPr>
                <w:rFonts w:hAnsi="宋体" w:cs="宋体"/>
                <w:color w:val="auto"/>
                <w:sz w:val="24"/>
                <w:highlight w:val="none"/>
              </w:rPr>
            </w:pPr>
            <w:r>
              <w:rPr>
                <w:rFonts w:hint="eastAsia" w:hAnsi="宋体" w:cs="宋体"/>
                <w:color w:val="auto"/>
                <w:sz w:val="24"/>
                <w:highlight w:val="none"/>
                <w:lang w:val="zh-CN"/>
              </w:rPr>
              <w:t xml:space="preserve">控股、管理关系情况说明</w:t>
            </w:r>
            <w:r/>
          </w:p>
        </w:tc>
      </w:tr>
      <w:tr>
        <w:trPr>
          <w:trHeight w:val="703"/>
        </w:trPr>
        <w:tc>
          <w:tcPr>
            <w:tcW w:w="2500" w:type="pct"/>
            <w:textDirection w:val="lrTb"/>
            <w:noWrap w:val="false"/>
          </w:tcPr>
          <w:p>
            <w:pPr>
              <w:pStyle w:val="1052"/>
              <w:rPr>
                <w:rFonts w:hAnsi="宋体" w:cs="宋体"/>
                <w:color w:val="auto"/>
                <w:highlight w:val="none"/>
              </w:rPr>
            </w:pPr>
            <w:r>
              <w:rPr>
                <w:rFonts w:hAnsi="宋体" w:cs="宋体"/>
                <w:color w:val="auto"/>
                <w:highlight w:val="none"/>
              </w:rPr>
            </w:r>
            <w:r/>
          </w:p>
        </w:tc>
        <w:tc>
          <w:tcPr>
            <w:tcW w:w="2500" w:type="pct"/>
            <w:textDirection w:val="lrTb"/>
            <w:noWrap w:val="false"/>
          </w:tcPr>
          <w:p>
            <w:pPr>
              <w:pStyle w:val="1052"/>
              <w:rPr>
                <w:rFonts w:hAnsi="宋体" w:cs="宋体"/>
                <w:color w:val="auto"/>
                <w:highlight w:val="none"/>
              </w:rPr>
            </w:pPr>
            <w:r>
              <w:rPr>
                <w:rFonts w:hAnsi="宋体" w:cs="宋体"/>
                <w:color w:val="auto"/>
                <w:highlight w:val="none"/>
              </w:rPr>
            </w:r>
            <w:r/>
          </w:p>
        </w:tc>
      </w:tr>
      <w:tr>
        <w:trPr>
          <w:trHeight w:val="678"/>
        </w:trPr>
        <w:tc>
          <w:tcPr>
            <w:tcW w:w="2500" w:type="pct"/>
            <w:textDirection w:val="lrTb"/>
            <w:noWrap w:val="false"/>
          </w:tcPr>
          <w:p>
            <w:pPr>
              <w:pStyle w:val="1052"/>
              <w:rPr>
                <w:rFonts w:hAnsi="宋体" w:cs="宋体"/>
                <w:color w:val="auto"/>
                <w:highlight w:val="none"/>
              </w:rPr>
            </w:pPr>
            <w:r>
              <w:rPr>
                <w:rFonts w:hAnsi="宋体" w:cs="宋体"/>
                <w:color w:val="auto"/>
                <w:highlight w:val="none"/>
              </w:rPr>
            </w:r>
            <w:r/>
          </w:p>
        </w:tc>
        <w:tc>
          <w:tcPr>
            <w:tcW w:w="2500" w:type="pct"/>
            <w:textDirection w:val="lrTb"/>
            <w:noWrap w:val="false"/>
          </w:tcPr>
          <w:p>
            <w:pPr>
              <w:pStyle w:val="1052"/>
              <w:rPr>
                <w:rFonts w:hAnsi="宋体" w:cs="宋体"/>
                <w:color w:val="auto"/>
                <w:highlight w:val="none"/>
              </w:rPr>
            </w:pPr>
            <w:r>
              <w:rPr>
                <w:rFonts w:hAnsi="宋体" w:cs="宋体"/>
                <w:color w:val="auto"/>
                <w:highlight w:val="none"/>
              </w:rPr>
            </w:r>
            <w:r/>
          </w:p>
        </w:tc>
      </w:tr>
      <w:tr>
        <w:trPr>
          <w:trHeight w:val="678"/>
        </w:trPr>
        <w:tc>
          <w:tcPr>
            <w:tcW w:w="2500" w:type="pct"/>
            <w:textDirection w:val="lrTb"/>
            <w:noWrap w:val="false"/>
          </w:tcPr>
          <w:p>
            <w:pPr>
              <w:pStyle w:val="1052"/>
              <w:rPr>
                <w:rFonts w:hAnsi="宋体" w:cs="宋体"/>
                <w:color w:val="auto"/>
                <w:highlight w:val="none"/>
              </w:rPr>
            </w:pPr>
            <w:r>
              <w:rPr>
                <w:rFonts w:hAnsi="宋体" w:cs="宋体"/>
                <w:color w:val="auto"/>
                <w:highlight w:val="none"/>
              </w:rPr>
            </w:r>
            <w:r/>
          </w:p>
        </w:tc>
        <w:tc>
          <w:tcPr>
            <w:tcW w:w="2500" w:type="pct"/>
            <w:textDirection w:val="lrTb"/>
            <w:noWrap w:val="false"/>
          </w:tcPr>
          <w:p>
            <w:pPr>
              <w:pStyle w:val="1052"/>
              <w:rPr>
                <w:rFonts w:hAnsi="宋体" w:cs="宋体"/>
                <w:color w:val="auto"/>
                <w:highlight w:val="none"/>
              </w:rPr>
            </w:pPr>
            <w:r>
              <w:rPr>
                <w:rFonts w:hAnsi="宋体" w:cs="宋体"/>
                <w:color w:val="auto"/>
                <w:highlight w:val="none"/>
              </w:rPr>
            </w:r>
            <w:r/>
          </w:p>
        </w:tc>
      </w:tr>
      <w:tr>
        <w:trPr>
          <w:trHeight w:val="703"/>
        </w:trPr>
        <w:tc>
          <w:tcPr>
            <w:tcW w:w="2500" w:type="pct"/>
            <w:textDirection w:val="lrTb"/>
            <w:noWrap w:val="false"/>
          </w:tcPr>
          <w:p>
            <w:pPr>
              <w:pStyle w:val="1052"/>
              <w:rPr>
                <w:rFonts w:hAnsi="宋体" w:cs="宋体"/>
                <w:color w:val="auto"/>
                <w:highlight w:val="none"/>
              </w:rPr>
            </w:pPr>
            <w:r>
              <w:rPr>
                <w:rFonts w:hAnsi="宋体" w:cs="宋体"/>
                <w:color w:val="auto"/>
                <w:highlight w:val="none"/>
              </w:rPr>
            </w:r>
            <w:r/>
          </w:p>
        </w:tc>
        <w:tc>
          <w:tcPr>
            <w:tcW w:w="2500" w:type="pct"/>
            <w:textDirection w:val="lrTb"/>
            <w:noWrap w:val="false"/>
          </w:tcPr>
          <w:p>
            <w:pPr>
              <w:pStyle w:val="1052"/>
              <w:rPr>
                <w:rFonts w:hAnsi="宋体" w:cs="宋体"/>
                <w:color w:val="auto"/>
                <w:highlight w:val="none"/>
              </w:rPr>
            </w:pPr>
            <w:r>
              <w:rPr>
                <w:rFonts w:hAnsi="宋体" w:cs="宋体"/>
                <w:color w:val="auto"/>
                <w:highlight w:val="none"/>
              </w:rPr>
            </w:r>
            <w:r/>
          </w:p>
        </w:tc>
      </w:tr>
    </w:tbl>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注：</w:t>
      </w: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lang w:val="zh-CN"/>
        </w:rPr>
        <w:t xml:space="preserve">须如实填写所有与之有控股管理关系的情况。</w:t>
      </w:r>
      <w:r/>
    </w:p>
    <w:p>
      <w:pPr>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供应商：（单位盖章）</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法定代表人或代理人：（签字或签章）</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    年    月    日</w:t>
      </w:r>
      <w:r/>
    </w:p>
    <w:p>
      <w:pPr>
        <w:rPr>
          <w:rFonts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24"/>
          <w:szCs w:val="24"/>
          <w:highlight w:val="none"/>
        </w:rPr>
        <w:t xml:space="preserve">8.3、供应商情况表</w:t>
      </w:r>
      <w:r/>
    </w:p>
    <w:p>
      <w:pPr>
        <w:jc w:val="center"/>
        <w:rPr>
          <w:rFonts w:ascii="宋体" w:hAnsi="宋体" w:eastAsia="宋体" w:cs="宋体"/>
          <w:color w:val="auto"/>
          <w:highlight w:val="none"/>
        </w:rPr>
      </w:pPr>
      <w:r>
        <w:rPr>
          <w:rFonts w:hint="eastAsia" w:ascii="宋体" w:hAnsi="宋体" w:eastAsia="宋体" w:cs="宋体"/>
          <w:b/>
          <w:bCs/>
          <w:color w:val="auto"/>
          <w:sz w:val="24"/>
          <w:szCs w:val="24"/>
          <w:highlight w:val="none"/>
        </w:rPr>
        <w:t xml:space="preserve">供应商情况表</w:t>
      </w:r>
      <w:r/>
    </w:p>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单位名称（盖章）</w:t>
      </w:r>
      <w:r/>
    </w:p>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招标编号：</w:t>
      </w:r>
      <w:r/>
    </w:p>
    <w:tbl>
      <w:tblPr>
        <w:tblStyle w:val="960"/>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1952"/>
        <w:gridCol w:w="1473"/>
        <w:gridCol w:w="1941"/>
        <w:gridCol w:w="1242"/>
      </w:tblGrid>
      <w:tr>
        <w:trPr>
          <w:cantSplit/>
        </w:trPr>
        <w:tc>
          <w:tcPr>
            <w:tcW w:w="1441" w:type="pct"/>
            <w:textDirection w:val="lrTb"/>
            <w:noWrap w:val="false"/>
          </w:tcPr>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法定代表人</w:t>
            </w:r>
            <w:r/>
          </w:p>
        </w:tc>
        <w:tc>
          <w:tcPr>
            <w:tcW w:w="1051" w:type="pct"/>
            <w:textDirection w:val="lrTb"/>
            <w:noWrap w:val="false"/>
          </w:tcPr>
          <w:p>
            <w:pPr>
              <w:pStyle w:val="962"/>
              <w:ind w:firstLine="0"/>
              <w:rPr>
                <w:rFonts w:ascii="宋体" w:hAnsi="宋体" w:eastAsia="宋体" w:cs="宋体"/>
                <w:color w:val="auto"/>
                <w:highlight w:val="none"/>
              </w:rPr>
            </w:pPr>
            <w:r>
              <w:rPr>
                <w:rFonts w:ascii="宋体" w:hAnsi="宋体" w:eastAsia="宋体" w:cs="宋体"/>
                <w:color w:val="auto"/>
                <w:highlight w:val="none"/>
              </w:rPr>
            </w:r>
            <w:r/>
          </w:p>
        </w:tc>
        <w:tc>
          <w:tcPr>
            <w:tcW w:w="793" w:type="pct"/>
            <w:textDirection w:val="lrTb"/>
            <w:noWrap w:val="false"/>
          </w:tcPr>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成立日期</w:t>
            </w:r>
            <w:r/>
          </w:p>
        </w:tc>
        <w:tc>
          <w:tcPr>
            <w:gridSpan w:val="2"/>
            <w:tcW w:w="1713" w:type="pct"/>
            <w:textDirection w:val="lrTb"/>
            <w:noWrap w:val="false"/>
          </w:tcPr>
          <w:p>
            <w:pPr>
              <w:pStyle w:val="962"/>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企业地址</w:t>
            </w:r>
            <w:r/>
          </w:p>
        </w:tc>
        <w:tc>
          <w:tcPr>
            <w:tcW w:w="1051" w:type="pct"/>
            <w:textDirection w:val="lrTb"/>
            <w:noWrap w:val="false"/>
          </w:tcPr>
          <w:p>
            <w:pPr>
              <w:pStyle w:val="962"/>
              <w:ind w:firstLine="0"/>
              <w:rPr>
                <w:rFonts w:ascii="宋体" w:hAnsi="宋体" w:eastAsia="宋体" w:cs="宋体"/>
                <w:color w:val="auto"/>
                <w:highlight w:val="none"/>
              </w:rPr>
            </w:pPr>
            <w:r>
              <w:rPr>
                <w:rFonts w:ascii="宋体" w:hAnsi="宋体" w:eastAsia="宋体" w:cs="宋体"/>
                <w:color w:val="auto"/>
                <w:highlight w:val="none"/>
              </w:rPr>
            </w:r>
            <w:r/>
          </w:p>
        </w:tc>
        <w:tc>
          <w:tcPr>
            <w:tcW w:w="793" w:type="pct"/>
            <w:textDirection w:val="lrTb"/>
            <w:noWrap w:val="false"/>
          </w:tcPr>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注册资本</w:t>
            </w:r>
            <w:r/>
          </w:p>
        </w:tc>
        <w:tc>
          <w:tcPr>
            <w:gridSpan w:val="2"/>
            <w:tcW w:w="1713" w:type="pct"/>
            <w:textDirection w:val="lrTb"/>
            <w:noWrap w:val="false"/>
          </w:tcPr>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万元</w:t>
            </w:r>
            <w:r/>
          </w:p>
        </w:tc>
      </w:tr>
      <w:tr>
        <w:trPr>
          <w:cantSplit/>
        </w:trPr>
        <w:tc>
          <w:tcPr>
            <w:tcW w:w="1441" w:type="pct"/>
            <w:textDirection w:val="lrTb"/>
            <w:noWrap w:val="false"/>
          </w:tcPr>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经营范围</w:t>
            </w:r>
            <w:r/>
          </w:p>
        </w:tc>
        <w:tc>
          <w:tcPr>
            <w:gridSpan w:val="4"/>
            <w:tcW w:w="3558" w:type="pct"/>
            <w:textDirection w:val="lrTb"/>
            <w:noWrap w:val="false"/>
          </w:tcPr>
          <w:p>
            <w:pPr>
              <w:pStyle w:val="962"/>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职工人数</w:t>
            </w:r>
            <w:r/>
          </w:p>
        </w:tc>
        <w:tc>
          <w:tcPr>
            <w:tcW w:w="1051" w:type="pct"/>
            <w:textDirection w:val="lrTb"/>
            <w:noWrap w:val="false"/>
          </w:tcPr>
          <w:p>
            <w:pPr>
              <w:pStyle w:val="962"/>
              <w:ind w:firstLine="0"/>
              <w:rPr>
                <w:rFonts w:ascii="宋体" w:hAnsi="宋体" w:eastAsia="宋体" w:cs="宋体"/>
                <w:color w:val="auto"/>
                <w:highlight w:val="none"/>
              </w:rPr>
            </w:pPr>
            <w:r>
              <w:rPr>
                <w:rFonts w:ascii="宋体" w:hAnsi="宋体" w:eastAsia="宋体" w:cs="宋体"/>
                <w:color w:val="auto"/>
                <w:highlight w:val="none"/>
              </w:rPr>
            </w:r>
            <w:r/>
          </w:p>
        </w:tc>
        <w:tc>
          <w:tcPr>
            <w:gridSpan w:val="2"/>
            <w:tcW w:w="1838" w:type="pct"/>
            <w:textDirection w:val="lrTb"/>
            <w:noWrap w:val="false"/>
          </w:tcPr>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其中：有中高级以上职称的人数</w:t>
            </w:r>
            <w:r/>
          </w:p>
        </w:tc>
        <w:tc>
          <w:tcPr>
            <w:tcW w:w="667" w:type="pct"/>
            <w:textDirection w:val="lrTb"/>
            <w:noWrap w:val="false"/>
          </w:tcPr>
          <w:p>
            <w:pPr>
              <w:pStyle w:val="962"/>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vAlign w:val="center"/>
            <w:textDirection w:val="lrTb"/>
            <w:noWrap w:val="false"/>
          </w:tcPr>
          <w:p>
            <w:pPr>
              <w:pStyle w:val="962"/>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资产总计</w:t>
            </w:r>
            <w:r/>
          </w:p>
        </w:tc>
        <w:tc>
          <w:tcPr>
            <w:tcW w:w="1051" w:type="pct"/>
            <w:vAlign w:val="center"/>
            <w:textDirection w:val="lrTb"/>
            <w:noWrap w:val="false"/>
          </w:tcPr>
          <w:p>
            <w:pPr>
              <w:pStyle w:val="962"/>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         万元</w:t>
            </w:r>
            <w:r/>
          </w:p>
        </w:tc>
        <w:tc>
          <w:tcPr>
            <w:tcW w:w="793" w:type="pct"/>
            <w:vAlign w:val="center"/>
            <w:textDirection w:val="lrTb"/>
            <w:noWrap w:val="false"/>
          </w:tcPr>
          <w:p>
            <w:pPr>
              <w:pStyle w:val="962"/>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净资产</w:t>
            </w:r>
            <w:r/>
          </w:p>
        </w:tc>
        <w:tc>
          <w:tcPr>
            <w:gridSpan w:val="2"/>
            <w:tcW w:w="1713" w:type="pct"/>
            <w:vAlign w:val="center"/>
            <w:textDirection w:val="lrTb"/>
            <w:noWrap w:val="false"/>
          </w:tcPr>
          <w:p>
            <w:pPr>
              <w:pStyle w:val="962"/>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                万元</w:t>
            </w:r>
            <w:r/>
          </w:p>
        </w:tc>
      </w:tr>
      <w:tr>
        <w:trPr>
          <w:cantSplit/>
        </w:trPr>
        <w:tc>
          <w:tcPr>
            <w:tcW w:w="1441" w:type="pct"/>
            <w:vAlign w:val="center"/>
            <w:textDirection w:val="lrTb"/>
            <w:noWrap w:val="false"/>
          </w:tcPr>
          <w:p>
            <w:pPr>
              <w:pStyle w:val="962"/>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股东权益</w:t>
            </w:r>
            <w:r/>
          </w:p>
        </w:tc>
        <w:tc>
          <w:tcPr>
            <w:tcW w:w="1051" w:type="pct"/>
            <w:vAlign w:val="center"/>
            <w:textDirection w:val="lrTb"/>
            <w:noWrap w:val="false"/>
          </w:tcPr>
          <w:p>
            <w:pPr>
              <w:pStyle w:val="962"/>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         万元</w:t>
            </w:r>
            <w:r/>
          </w:p>
        </w:tc>
        <w:tc>
          <w:tcPr>
            <w:tcW w:w="793" w:type="pct"/>
            <w:vAlign w:val="center"/>
            <w:textDirection w:val="lrTb"/>
            <w:noWrap w:val="false"/>
          </w:tcPr>
          <w:p>
            <w:pPr>
              <w:pStyle w:val="962"/>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销售收入</w:t>
            </w:r>
            <w:r/>
          </w:p>
        </w:tc>
        <w:tc>
          <w:tcPr>
            <w:gridSpan w:val="2"/>
            <w:tcW w:w="1713" w:type="pct"/>
            <w:vAlign w:val="center"/>
            <w:textDirection w:val="lrTb"/>
            <w:noWrap w:val="false"/>
          </w:tcPr>
          <w:p>
            <w:pPr>
              <w:pStyle w:val="962"/>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2024年          万元</w:t>
            </w:r>
            <w:r/>
          </w:p>
        </w:tc>
      </w:tr>
      <w:tr>
        <w:trPr>
          <w:cantSplit/>
        </w:trPr>
        <w:tc>
          <w:tcPr>
            <w:tcW w:w="1441" w:type="pct"/>
            <w:textDirection w:val="lrTb"/>
            <w:noWrap w:val="false"/>
          </w:tcPr>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实现利润</w:t>
            </w:r>
            <w:r/>
          </w:p>
        </w:tc>
        <w:tc>
          <w:tcPr>
            <w:tcW w:w="1051" w:type="pct"/>
            <w:textDirection w:val="lrTb"/>
            <w:noWrap w:val="false"/>
          </w:tcPr>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2024年    万元</w:t>
            </w:r>
            <w:r/>
          </w:p>
        </w:tc>
        <w:tc>
          <w:tcPr>
            <w:tcW w:w="793" w:type="pct"/>
            <w:textDirection w:val="lrTb"/>
            <w:noWrap w:val="false"/>
          </w:tcPr>
          <w:p>
            <w:pPr>
              <w:pStyle w:val="962"/>
              <w:ind w:firstLine="0"/>
              <w:rPr>
                <w:rFonts w:ascii="宋体" w:hAnsi="宋体" w:eastAsia="宋体" w:cs="宋体"/>
                <w:color w:val="auto"/>
                <w:highlight w:val="none"/>
              </w:rPr>
            </w:pPr>
            <w:r>
              <w:rPr>
                <w:rFonts w:ascii="宋体" w:hAnsi="宋体" w:eastAsia="宋体" w:cs="宋体"/>
                <w:color w:val="auto"/>
                <w:highlight w:val="none"/>
              </w:rPr>
            </w:r>
            <w:r/>
          </w:p>
        </w:tc>
        <w:tc>
          <w:tcPr>
            <w:gridSpan w:val="2"/>
            <w:tcW w:w="1713" w:type="pct"/>
            <w:textDirection w:val="lrTb"/>
            <w:noWrap w:val="false"/>
          </w:tcPr>
          <w:p>
            <w:pPr>
              <w:pStyle w:val="962"/>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营业面积（含厂房面积）</w:t>
            </w:r>
            <w:r/>
          </w:p>
        </w:tc>
        <w:tc>
          <w:tcPr>
            <w:tcW w:w="1051" w:type="pct"/>
            <w:vAlign w:val="center"/>
            <w:textDirection w:val="lrTb"/>
            <w:noWrap w:val="false"/>
          </w:tcPr>
          <w:p>
            <w:pPr>
              <w:pStyle w:val="962"/>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        平方米</w:t>
            </w:r>
            <w:r/>
          </w:p>
        </w:tc>
        <w:tc>
          <w:tcPr>
            <w:tcW w:w="793" w:type="pct"/>
            <w:textDirection w:val="lrTb"/>
            <w:noWrap w:val="false"/>
          </w:tcPr>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其中：</w:t>
            </w:r>
            <w:r/>
          </w:p>
        </w:tc>
        <w:tc>
          <w:tcPr>
            <w:gridSpan w:val="2"/>
            <w:tcW w:w="1713" w:type="pct"/>
            <w:textDirection w:val="lrTb"/>
            <w:noWrap w:val="false"/>
          </w:tcPr>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自有面积         平方米</w:t>
            </w:r>
            <w:r/>
          </w:p>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承租面积         平方米</w:t>
            </w:r>
            <w:r/>
          </w:p>
        </w:tc>
      </w:tr>
      <w:tr>
        <w:trPr>
          <w:cantSplit/>
          <w:trHeight w:val="747"/>
        </w:trPr>
        <w:tc>
          <w:tcPr>
            <w:tcW w:w="1441" w:type="pct"/>
            <w:textDirection w:val="lrTb"/>
            <w:noWrap w:val="false"/>
          </w:tcPr>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单位简历及内设机构情况</w:t>
            </w:r>
            <w:r/>
          </w:p>
        </w:tc>
        <w:tc>
          <w:tcPr>
            <w:gridSpan w:val="4"/>
            <w:tcW w:w="3558" w:type="pct"/>
            <w:textDirection w:val="lrTb"/>
            <w:noWrap w:val="false"/>
          </w:tcPr>
          <w:p>
            <w:pPr>
              <w:pStyle w:val="962"/>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单位优势及特长</w:t>
            </w:r>
            <w:r/>
          </w:p>
        </w:tc>
        <w:tc>
          <w:tcPr>
            <w:gridSpan w:val="4"/>
            <w:tcW w:w="3558" w:type="pct"/>
            <w:textDirection w:val="lrTb"/>
            <w:noWrap w:val="false"/>
          </w:tcPr>
          <w:p>
            <w:pPr>
              <w:pStyle w:val="962"/>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是否处于被行政或司法机关责令停业或停止承接工程任务或停止投标资格</w:t>
            </w:r>
            <w:r/>
          </w:p>
        </w:tc>
        <w:tc>
          <w:tcPr>
            <w:gridSpan w:val="4"/>
            <w:tcW w:w="3558" w:type="pct"/>
            <w:textDirection w:val="lrTb"/>
            <w:noWrap w:val="false"/>
          </w:tcPr>
          <w:p>
            <w:pPr>
              <w:pStyle w:val="962"/>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最近2年内在经营过程中受到何种奖励或处分（包括情况和结果）</w:t>
            </w:r>
            <w:r/>
          </w:p>
        </w:tc>
        <w:tc>
          <w:tcPr>
            <w:gridSpan w:val="4"/>
            <w:tcW w:w="3558" w:type="pct"/>
            <w:textDirection w:val="lrTb"/>
            <w:noWrap w:val="false"/>
          </w:tcPr>
          <w:p>
            <w:pPr>
              <w:pStyle w:val="962"/>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962"/>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最近3年内主要负责人有无因经济犯罪被司法机关追究的情况及说明</w:t>
            </w:r>
            <w:r/>
          </w:p>
        </w:tc>
        <w:tc>
          <w:tcPr>
            <w:gridSpan w:val="4"/>
            <w:tcW w:w="3558" w:type="pct"/>
            <w:textDirection w:val="lrTb"/>
            <w:noWrap w:val="false"/>
          </w:tcPr>
          <w:p>
            <w:pPr>
              <w:pStyle w:val="962"/>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获得技术认证的工程师及简介</w:t>
            </w:r>
            <w:r/>
          </w:p>
        </w:tc>
        <w:tc>
          <w:tcPr>
            <w:gridSpan w:val="4"/>
            <w:tcW w:w="3558" w:type="pct"/>
            <w:textDirection w:val="lrTb"/>
            <w:noWrap w:val="false"/>
          </w:tcPr>
          <w:p>
            <w:pPr>
              <w:pStyle w:val="962"/>
              <w:ind w:firstLine="0"/>
              <w:rPr>
                <w:rFonts w:ascii="宋体" w:hAnsi="宋体" w:eastAsia="宋体" w:cs="宋体"/>
                <w:color w:val="auto"/>
                <w:highlight w:val="none"/>
              </w:rPr>
            </w:pPr>
            <w:r>
              <w:rPr>
                <w:rFonts w:ascii="宋体" w:hAnsi="宋体" w:eastAsia="宋体" w:cs="宋体"/>
                <w:color w:val="auto"/>
                <w:highlight w:val="none"/>
              </w:rPr>
            </w:r>
            <w:r/>
          </w:p>
        </w:tc>
      </w:tr>
      <w:tr>
        <w:trPr>
          <w:cantSplit/>
          <w:trHeight w:val="560"/>
        </w:trPr>
        <w:tc>
          <w:tcPr>
            <w:tcW w:w="1441" w:type="pct"/>
            <w:textDirection w:val="lrTb"/>
            <w:noWrap w:val="false"/>
          </w:tcPr>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其他需要说明的情况</w:t>
            </w:r>
            <w:r/>
          </w:p>
        </w:tc>
        <w:tc>
          <w:tcPr>
            <w:gridSpan w:val="4"/>
            <w:tcW w:w="3558" w:type="pct"/>
            <w:textDirection w:val="lrTb"/>
            <w:noWrap w:val="false"/>
          </w:tcPr>
          <w:p>
            <w:pPr>
              <w:pStyle w:val="962"/>
              <w:ind w:firstLine="0"/>
              <w:rPr>
                <w:rFonts w:ascii="宋体" w:hAnsi="宋体" w:eastAsia="宋体" w:cs="宋体"/>
                <w:color w:val="auto"/>
                <w:highlight w:val="none"/>
              </w:rPr>
            </w:pPr>
            <w:r>
              <w:rPr>
                <w:rFonts w:ascii="宋体" w:hAnsi="宋体" w:eastAsia="宋体" w:cs="宋体"/>
                <w:color w:val="auto"/>
                <w:highlight w:val="none"/>
              </w:rPr>
            </w:r>
            <w:r/>
          </w:p>
        </w:tc>
      </w:tr>
    </w:tbl>
    <w:p>
      <w:pPr>
        <w:jc w:val="center"/>
        <w:spacing w:line="360" w:lineRule="auto"/>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rPr>
          <w:rFonts w:hint="eastAsia" w:ascii="宋体" w:hAnsi="宋体" w:eastAsia="宋体" w:cs="宋体"/>
          <w:b/>
          <w:color w:val="auto"/>
          <w:sz w:val="30"/>
          <w:szCs w:val="30"/>
          <w:highlight w:val="none"/>
        </w:rPr>
        <w:t xml:space="preserve">九、</w:t>
      </w:r>
      <w:bookmarkStart w:id="25" w:name="_Toc348785370"/>
      <w:r/>
      <w:bookmarkStart w:id="26" w:name="_Toc405820406"/>
      <w:r/>
      <w:bookmarkStart w:id="27" w:name="_Toc348785015"/>
      <w:r/>
      <w:bookmarkStart w:id="28" w:name="_Toc382997005"/>
      <w:r/>
      <w:bookmarkStart w:id="29" w:name="_Toc405820303"/>
      <w:r/>
      <w:bookmarkStart w:id="30" w:name="_Toc348784829"/>
      <w:r/>
      <w:bookmarkStart w:id="31" w:name="_Toc405820181"/>
      <w:r/>
      <w:bookmarkStart w:id="32" w:name="_Toc405820241"/>
      <w:r>
        <w:rPr>
          <w:rFonts w:hint="eastAsia" w:ascii="宋体" w:hAnsi="宋体" w:eastAsia="宋体" w:cs="宋体"/>
          <w:b/>
          <w:color w:val="auto"/>
          <w:sz w:val="30"/>
          <w:szCs w:val="30"/>
          <w:highlight w:val="none"/>
        </w:rPr>
        <w:t xml:space="preserve">企业类似业绩一览表</w:t>
      </w:r>
      <w:r/>
    </w:p>
    <w:p>
      <w:pPr>
        <w:pStyle w:val="962"/>
        <w:ind w:firstLine="0"/>
        <w:rPr>
          <w:rFonts w:ascii="宋体" w:hAnsi="宋体" w:eastAsia="宋体" w:cs="宋体"/>
          <w:color w:val="auto"/>
          <w:highlight w:val="none"/>
        </w:rPr>
      </w:pPr>
      <w:r>
        <w:rPr>
          <w:rFonts w:hint="eastAsia" w:ascii="宋体" w:hAnsi="宋体" w:eastAsia="宋体" w:cs="宋体"/>
          <w:color w:val="auto"/>
          <w:highlight w:val="none"/>
        </w:rPr>
        <w:t xml:space="preserve">招标编号：</w:t>
      </w:r>
      <w:r/>
    </w:p>
    <w:tbl>
      <w:tblPr>
        <w:tblStyle w:val="96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2813"/>
        <w:gridCol w:w="1764"/>
        <w:gridCol w:w="1705"/>
        <w:gridCol w:w="1929"/>
      </w:tblGrid>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515" w:type="pct"/>
            <w:vAlign w:val="center"/>
            <w:textDirection w:val="lrTb"/>
            <w:noWrap w:val="false"/>
          </w:tcPr>
          <w:p>
            <w:pPr>
              <w:jc w:val="center"/>
              <w:spacing w:line="360" w:lineRule="auto"/>
              <w:tabs>
                <w:tab w:val="left" w:pos="6252"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950" w:type="pct"/>
            <w:vAlign w:val="center"/>
            <w:textDirection w:val="lrTb"/>
            <w:noWrap w:val="false"/>
          </w:tcPr>
          <w:p>
            <w:pPr>
              <w:jc w:val="center"/>
              <w:spacing w:line="360" w:lineRule="auto"/>
              <w:tabs>
                <w:tab w:val="left" w:pos="6252"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合同签订时间</w:t>
            </w:r>
            <w:r/>
          </w:p>
        </w:tc>
        <w:tc>
          <w:tcPr>
            <w:tcW w:w="918" w:type="pct"/>
            <w:vAlign w:val="center"/>
            <w:textDirection w:val="lrTb"/>
            <w:noWrap w:val="false"/>
          </w:tcPr>
          <w:p>
            <w:pPr>
              <w:jc w:val="center"/>
              <w:spacing w:line="360" w:lineRule="auto"/>
              <w:tabs>
                <w:tab w:val="left" w:pos="6252"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业主单位名称</w:t>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供应商：（单位盖章）</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spacing w:before="100" w:beforeAutospacing="1" w:after="100" w:afterAutospacing="1"/>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tabs>
          <w:tab w:val="left" w:pos="6798"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bookmarkEnd w:id="25"/>
      <w:r/>
      <w:bookmarkEnd w:id="26"/>
      <w:r/>
      <w:bookmarkEnd w:id="27"/>
      <w:r/>
      <w:bookmarkEnd w:id="28"/>
      <w:r/>
      <w:bookmarkEnd w:id="29"/>
      <w:r/>
      <w:bookmarkEnd w:id="30"/>
      <w:r/>
      <w:bookmarkEnd w:id="31"/>
      <w:r/>
      <w:bookmarkEnd w:id="32"/>
      <w:r/>
      <w:r/>
    </w:p>
    <w:p>
      <w:pPr>
        <w:jc w:val="center"/>
        <w:spacing w:line="360" w:lineRule="auto"/>
        <w:widowControl/>
        <w:rPr>
          <w:rFonts w:ascii="宋体" w:hAnsi="宋体" w:eastAsia="宋体" w:cs="宋体"/>
          <w:b/>
          <w:color w:val="auto"/>
          <w:sz w:val="30"/>
          <w:szCs w:val="30"/>
          <w:highlight w:val="none"/>
        </w:rPr>
      </w:pPr>
      <w:r>
        <w:rPr>
          <w:rFonts w:hint="eastAsia" w:ascii="宋体" w:hAnsi="宋体" w:eastAsia="宋体" w:cs="宋体"/>
          <w:b/>
          <w:bCs/>
          <w:color w:val="auto"/>
          <w:sz w:val="32"/>
          <w:szCs w:val="28"/>
          <w:highlight w:val="none"/>
        </w:rPr>
        <w:br w:type="page" w:clear="all"/>
      </w:r>
      <w:r>
        <w:rPr>
          <w:rFonts w:hint="eastAsia" w:ascii="宋体" w:hAnsi="宋体" w:eastAsia="宋体" w:cs="宋体"/>
          <w:b/>
          <w:color w:val="auto"/>
          <w:sz w:val="30"/>
          <w:szCs w:val="30"/>
          <w:highlight w:val="none"/>
        </w:rPr>
        <w:t xml:space="preserve">十</w:t>
      </w:r>
      <w:r>
        <w:rPr>
          <w:rFonts w:hint="eastAsia" w:ascii="宋体" w:hAnsi="宋体" w:eastAsia="宋体" w:cs="宋体"/>
          <w:b/>
          <w:color w:val="auto"/>
          <w:sz w:val="30"/>
          <w:szCs w:val="30"/>
          <w:highlight w:val="none"/>
          <w:lang w:val="zh-CN"/>
        </w:rPr>
        <w:t xml:space="preserve">、</w:t>
      </w:r>
      <w:r>
        <w:rPr>
          <w:rFonts w:hint="eastAsia" w:ascii="宋体" w:hAnsi="宋体" w:eastAsia="宋体" w:cs="宋体"/>
          <w:b/>
          <w:color w:val="auto"/>
          <w:sz w:val="30"/>
          <w:szCs w:val="30"/>
          <w:highlight w:val="none"/>
        </w:rPr>
        <w:t xml:space="preserve">投标（响应）保证承诺书</w:t>
      </w:r>
      <w:r/>
    </w:p>
    <w:p>
      <w:pPr>
        <w:pStyle w:val="1076"/>
        <w:ind w:firstLine="480"/>
        <w:jc w:val="center"/>
        <w:rPr>
          <w:rFonts w:hAnsi="宋体" w:cs="宋体"/>
          <w:b/>
          <w:bCs/>
          <w:color w:val="auto"/>
          <w:highlight w:val="none"/>
        </w:rPr>
      </w:pPr>
      <w:r>
        <w:rPr>
          <w:rFonts w:hAnsi="宋体" w:cs="宋体"/>
          <w:b/>
          <w:bCs/>
          <w:color w:val="auto"/>
          <w:highlight w:val="none"/>
        </w:rPr>
      </w:r>
      <w:r/>
    </w:p>
    <w:p>
      <w:pPr>
        <w:pStyle w:val="1076"/>
        <w:ind w:firstLine="480"/>
        <w:jc w:val="center"/>
        <w:rPr>
          <w:rFonts w:hAnsi="宋体" w:cs="宋体"/>
          <w:b/>
          <w:bCs/>
          <w:color w:val="auto"/>
          <w:highlight w:val="none"/>
        </w:rPr>
      </w:pPr>
      <w:r>
        <w:rPr>
          <w:rFonts w:hint="eastAsia" w:hAnsi="宋体" w:cs="宋体"/>
          <w:b/>
          <w:bCs/>
          <w:color w:val="auto"/>
          <w:highlight w:val="none"/>
        </w:rPr>
        <w:t xml:space="preserve">投标（响应）保证承诺书</w:t>
      </w:r>
      <w:r/>
    </w:p>
    <w:p>
      <w:pPr>
        <w:pStyle w:val="1076"/>
        <w:ind w:firstLine="480"/>
        <w:spacing w:line="360" w:lineRule="auto"/>
        <w:rPr>
          <w:rFonts w:hAnsi="宋体" w:cs="宋体"/>
          <w:color w:val="auto"/>
          <w:sz w:val="24"/>
          <w:szCs w:val="24"/>
          <w:highlight w:val="none"/>
          <w:u w:val="single"/>
        </w:rPr>
      </w:pPr>
      <w:r>
        <w:rPr>
          <w:rFonts w:hint="eastAsia" w:hAnsi="宋体" w:cs="宋体"/>
          <w:color w:val="auto"/>
          <w:sz w:val="24"/>
          <w:szCs w:val="24"/>
          <w:highlight w:val="none"/>
        </w:rPr>
        <w:t xml:space="preserve">致：</w:t>
      </w:r>
      <w:r>
        <w:rPr>
          <w:rFonts w:hint="eastAsia" w:hAnsi="宋体" w:cs="宋体"/>
          <w:color w:val="auto"/>
          <w:sz w:val="24"/>
          <w:szCs w:val="24"/>
          <w:highlight w:val="none"/>
          <w:u w:val="single"/>
        </w:rPr>
        <w:t xml:space="preserve">                   （招标代理机构名称）</w:t>
      </w:r>
      <w:r/>
    </w:p>
    <w:p>
      <w:pPr>
        <w:pStyle w:val="1076"/>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我（单位/本人，以下统称我单位）自愿参加</w:t>
      </w:r>
      <w:r>
        <w:rPr>
          <w:rFonts w:hint="eastAsia" w:hAnsi="宋体" w:cs="宋体"/>
          <w:color w:val="auto"/>
          <w:sz w:val="24"/>
          <w:szCs w:val="24"/>
          <w:highlight w:val="none"/>
          <w:u w:val="single"/>
        </w:rPr>
        <w:t xml:space="preserve">              （项目名称和采购编号）</w:t>
      </w:r>
      <w:r>
        <w:rPr>
          <w:rFonts w:hint="eastAsia" w:hAnsi="宋体" w:cs="宋体"/>
          <w:color w:val="auto"/>
          <w:sz w:val="24"/>
          <w:szCs w:val="24"/>
          <w:highlight w:val="none"/>
        </w:rPr>
        <w:t xml:space="preserve">的投标（响应），并做出如下承诺：</w:t>
      </w:r>
      <w:r/>
    </w:p>
    <w:p>
      <w:pPr>
        <w:pStyle w:val="1076"/>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一、除不可抗力外，我单位如果发生以下行为，将在行为发生的10个工作日内，向贵方（或招标人）支付本采购文件公布的预算金额（或最高限价）的2%作为违约赔偿金。</w:t>
      </w:r>
      <w:r/>
    </w:p>
    <w:p>
      <w:pPr>
        <w:pStyle w:val="1076"/>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1.自投标（响应）截止时间至本项目发布中标（成交）公告为止，撤销投标（响应）；</w:t>
      </w:r>
      <w:r/>
    </w:p>
    <w:p>
      <w:pPr>
        <w:pStyle w:val="1076"/>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2.中标（成交）后不依法与招标人签订合同；</w:t>
      </w:r>
      <w:r/>
    </w:p>
    <w:p>
      <w:pPr>
        <w:pStyle w:val="1076"/>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3.中标（成交）后不按本采购文件规定向招标人提交履约保证金（如有）；</w:t>
      </w:r>
      <w:r/>
    </w:p>
    <w:p>
      <w:pPr>
        <w:pStyle w:val="1076"/>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4.中标（成交）后不按本采购文件规定向贵方缴纳采购代理费。</w:t>
      </w:r>
      <w:r/>
    </w:p>
    <w:p>
      <w:pPr>
        <w:pStyle w:val="1076"/>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二、我单位知晓上述行为的法律后果，承认本承诺书作为贵方（或招标人）要求我单位履行违约赔偿义务的依据作用。</w:t>
      </w:r>
      <w:r/>
    </w:p>
    <w:p>
      <w:pPr>
        <w:pStyle w:val="1076"/>
        <w:ind w:firstLine="480"/>
        <w:spacing w:line="360" w:lineRule="auto"/>
        <w:rPr>
          <w:rFonts w:hAnsi="宋体" w:cs="宋体"/>
          <w:color w:val="auto"/>
          <w:sz w:val="24"/>
          <w:szCs w:val="24"/>
          <w:highlight w:val="none"/>
        </w:rPr>
      </w:pPr>
      <w:r>
        <w:rPr>
          <w:rFonts w:hAnsi="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供应商：（公章）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jc w:val="center"/>
        <w:rPr>
          <w:rFonts w:ascii="宋体" w:hAnsi="宋体" w:eastAsia="宋体" w:cs="宋体"/>
          <w:b/>
          <w:color w:val="auto"/>
          <w:sz w:val="30"/>
          <w:szCs w:val="30"/>
          <w:highlight w:val="none"/>
        </w:rPr>
      </w:pPr>
      <w:r>
        <w:rPr>
          <w:rFonts w:hint="eastAsia" w:ascii="宋体" w:hAnsi="宋体" w:eastAsia="宋体" w:cs="宋体"/>
          <w:b/>
          <w:bCs/>
          <w:color w:val="auto"/>
          <w:sz w:val="32"/>
          <w:szCs w:val="28"/>
          <w:highlight w:val="none"/>
        </w:rPr>
        <w:br w:type="page" w:clear="all"/>
      </w:r>
      <w:r>
        <w:rPr>
          <w:rFonts w:hint="eastAsia" w:ascii="宋体" w:hAnsi="宋体" w:eastAsia="宋体" w:cs="宋体"/>
          <w:b/>
          <w:color w:val="auto"/>
          <w:sz w:val="30"/>
          <w:szCs w:val="30"/>
          <w:highlight w:val="none"/>
        </w:rPr>
        <w:t xml:space="preserve">十一、中小企业声明函</w:t>
      </w:r>
      <w:r/>
    </w:p>
    <w:p>
      <w:pPr>
        <w:jc w:val="left"/>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的采购活动，服务全部由符合政策要求的中小企业承接。相关企业（含联合体中的中小企业、签订分包意向协议的中小企业）的具体情况如下：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lang w:val="zh-CN"/>
        </w:rPr>
        <w:t xml:space="preserve">苏州高等职业技术学校房屋消防评估服务</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中型企业、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微型企业）</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企业名称（盖章）：</w:t>
      </w:r>
      <w:r/>
    </w:p>
    <w:p>
      <w:pPr>
        <w:ind w:firstLine="6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numPr>
          <w:ilvl w:val="0"/>
          <w:numId w:val="4"/>
        </w:num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中小企业划分标准详见“工信部联企业〔2011〕300号通知中的《中小企业划型标准规定》”。</w:t>
      </w:r>
      <w:r/>
    </w:p>
    <w:p>
      <w:pPr>
        <w:numPr>
          <w:ilvl w:val="0"/>
          <w:numId w:val="4"/>
        </w:num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rPr>
        <w:t xml:space="preserve">如供应商认定本企业为中型、小型或微型企业，则需根据“工信部联企业〔2011〕300号”通知中的《中小企业划型标准规定》填报“中小企业声明函”</w:t>
      </w:r>
      <w:r>
        <w:rPr>
          <w:rFonts w:hint="eastAsia" w:ascii="宋体" w:hAnsi="宋体" w:eastAsia="宋体" w:cs="宋体"/>
          <w:b/>
          <w:color w:val="auto"/>
          <w:sz w:val="24"/>
          <w:szCs w:val="24"/>
          <w:highlight w:val="none"/>
        </w:rPr>
        <w:t xml:space="preserve">。</w:t>
      </w:r>
      <w:r/>
    </w:p>
    <w:p>
      <w:pPr>
        <w:jc w:val="left"/>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3、从业人员、营业收入、资产总额填报上一年度数据，无上一年度数据的新成立企业可不填报。</w:t>
      </w:r>
      <w:r/>
    </w:p>
    <w:p>
      <w:pPr>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4、供应商应对照中小企业划分标准和采购标的所属行业：</w:t>
      </w:r>
      <w:r>
        <w:rPr>
          <w:rFonts w:hint="eastAsia" w:ascii="宋体" w:hAnsi="宋体" w:eastAsia="宋体" w:cs="宋体"/>
          <w:b/>
          <w:bCs/>
          <w:color w:val="auto"/>
          <w:sz w:val="24"/>
          <w:szCs w:val="24"/>
          <w:highlight w:val="none"/>
          <w:u w:val="single"/>
        </w:rPr>
        <w:t xml:space="preserve">其他未列明行业</w:t>
      </w:r>
      <w:r>
        <w:rPr>
          <w:rFonts w:hint="eastAsia" w:ascii="宋体" w:hAnsi="宋体" w:eastAsia="宋体" w:cs="宋体"/>
          <w:b/>
          <w:color w:val="auto"/>
          <w:sz w:val="24"/>
          <w:szCs w:val="24"/>
          <w:highlight w:val="none"/>
        </w:rPr>
        <w:t xml:space="preserve"> ，如实、完整填报《中小企业声明函》，如未对（中型企业、小型企业、微型企业）进行勾选，视同非中、小、微企业，不享受相应扶持政策。</w:t>
      </w:r>
      <w:r/>
    </w:p>
    <w:p>
      <w:pPr>
        <w:jc w:val="center"/>
        <w:spacing w:line="360" w:lineRule="auto"/>
        <w:rPr>
          <w:rFonts w:ascii="宋体" w:hAnsi="宋体" w:eastAsia="宋体" w:cs="宋体"/>
          <w:b/>
          <w:color w:val="auto"/>
          <w:sz w:val="30"/>
          <w:szCs w:val="30"/>
          <w:highlight w:val="none"/>
        </w:rPr>
      </w:pPr>
      <w:r>
        <w:rPr>
          <w:rFonts w:hint="eastAsia" w:ascii="宋体" w:hAnsi="宋体" w:eastAsia="宋体" w:cs="宋体"/>
          <w:b/>
          <w:bCs/>
          <w:color w:val="auto"/>
          <w:sz w:val="32"/>
          <w:szCs w:val="28"/>
          <w:highlight w:val="none"/>
        </w:rPr>
        <w:br w:type="page" w:clear="all"/>
      </w:r>
      <w:r>
        <w:rPr>
          <w:rFonts w:hint="eastAsia" w:ascii="宋体" w:hAnsi="宋体" w:eastAsia="宋体" w:cs="宋体"/>
          <w:b/>
          <w:color w:val="auto"/>
          <w:sz w:val="30"/>
          <w:szCs w:val="30"/>
          <w:highlight w:val="none"/>
        </w:rPr>
        <w:t xml:space="preserve">十二、残疾人福利性单位声明函</w:t>
      </w:r>
      <w:r/>
    </w:p>
    <w:p>
      <w:pPr>
        <w:pStyle w:val="962"/>
        <w:ind w:firstLine="0"/>
        <w:spacing w:line="360" w:lineRule="auto"/>
        <w:rPr>
          <w:rFonts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  </w:t>
      </w:r>
      <w:r>
        <w:rPr>
          <w:rFonts w:hint="eastAsia" w:ascii="宋体" w:hAnsi="宋体" w:eastAsia="宋体" w:cs="宋体"/>
          <w:b/>
          <w:bCs/>
          <w:color w:val="auto"/>
          <w:szCs w:val="24"/>
          <w:highlight w:val="none"/>
          <w:u w:val="single"/>
        </w:rPr>
        <w:t xml:space="preserve">                          </w:t>
      </w:r>
      <w:r>
        <w:rPr>
          <w:rFonts w:hint="eastAsia" w:ascii="宋体" w:hAnsi="宋体" w:eastAsia="宋体" w:cs="宋体"/>
          <w:b/>
          <w:bCs/>
          <w:color w:val="auto"/>
          <w:szCs w:val="24"/>
          <w:highlight w:val="none"/>
        </w:rPr>
        <w:t xml:space="preserve">：</w:t>
      </w:r>
      <w:r/>
    </w:p>
    <w:p>
      <w:pPr>
        <w:pStyle w:val="962"/>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color w:val="auto"/>
          <w:szCs w:val="24"/>
          <w:highlight w:val="none"/>
          <w:u w:val="single"/>
        </w:rPr>
        <w:t xml:space="preserve">（采购单位）</w:t>
      </w:r>
      <w:r>
        <w:rPr>
          <w:rFonts w:hint="eastAsia" w:ascii="宋体" w:hAnsi="宋体" w:eastAsia="宋体" w:cs="宋体"/>
          <w:color w:val="auto"/>
          <w:szCs w:val="24"/>
          <w:highlight w:val="none"/>
        </w:rPr>
        <w:t xml:space="preserve"> 单位的</w:t>
      </w:r>
      <w:r>
        <w:rPr>
          <w:rFonts w:hint="eastAsia" w:ascii="宋体" w:hAnsi="宋体" w:eastAsia="宋体" w:cs="宋体"/>
          <w:color w:val="auto"/>
          <w:szCs w:val="24"/>
          <w:highlight w:val="none"/>
          <w:u w:val="single"/>
          <w:lang w:val="zh-CN"/>
        </w:rPr>
        <w:t xml:space="preserve">（项目名称、招标编号）</w:t>
      </w:r>
      <w:r>
        <w:rPr>
          <w:rFonts w:hint="eastAsia" w:ascii="宋体" w:hAnsi="宋体" w:eastAsia="宋体" w:cs="宋体"/>
          <w:color w:val="auto"/>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62"/>
        <w:ind w:firstLine="480"/>
        <w:spacing w:line="360" w:lineRule="auto"/>
        <w:rPr>
          <w:rFonts w:ascii="宋体" w:hAnsi="宋体" w:eastAsia="宋体" w:cs="宋体"/>
          <w:b/>
          <w:bCs/>
          <w:color w:val="auto"/>
          <w:szCs w:val="24"/>
          <w:highlight w:val="none"/>
        </w:rPr>
      </w:pPr>
      <w:r>
        <w:rPr>
          <w:rFonts w:hint="eastAsia" w:ascii="宋体" w:hAnsi="宋体" w:eastAsia="宋体" w:cs="宋体"/>
          <w:color w:val="auto"/>
          <w:szCs w:val="24"/>
          <w:highlight w:val="none"/>
        </w:rPr>
        <w:t xml:space="preserve">本单位对上述声明的真实性负责。如有虚假，将依法承担相应责任。</w:t>
      </w:r>
      <w:r/>
    </w:p>
    <w:p>
      <w:pPr>
        <w:pStyle w:val="962"/>
        <w:ind w:firstLine="0"/>
        <w:spacing w:line="360" w:lineRule="auto"/>
        <w:rPr>
          <w:rFonts w:ascii="宋体" w:hAnsi="宋体" w:eastAsia="宋体" w:cs="宋体"/>
          <w:b/>
          <w:bCs/>
          <w:color w:val="auto"/>
          <w:szCs w:val="24"/>
          <w:highlight w:val="none"/>
        </w:rPr>
      </w:pPr>
      <w:r>
        <w:rPr>
          <w:rFonts w:ascii="宋体" w:hAnsi="宋体" w:eastAsia="宋体" w:cs="宋体"/>
          <w:b/>
          <w:bCs/>
          <w:color w:val="auto"/>
          <w:szCs w:val="24"/>
          <w:highlight w:val="none"/>
        </w:rPr>
      </w:r>
      <w:r/>
    </w:p>
    <w:p>
      <w:pPr>
        <w:pStyle w:val="962"/>
        <w:ind w:firstLine="0"/>
        <w:spacing w:line="360" w:lineRule="auto"/>
        <w:rPr>
          <w:rFonts w:ascii="宋体" w:hAnsi="宋体" w:eastAsia="宋体" w:cs="宋体"/>
          <w:b/>
          <w:bCs/>
          <w:color w:val="auto"/>
          <w:szCs w:val="24"/>
          <w:highlight w:val="none"/>
        </w:rPr>
      </w:pPr>
      <w:r>
        <w:rPr>
          <w:rFonts w:ascii="宋体" w:hAnsi="宋体" w:eastAsia="宋体" w:cs="宋体"/>
          <w:b/>
          <w:bCs/>
          <w:color w:val="auto"/>
          <w:szCs w:val="24"/>
          <w:highlight w:val="none"/>
        </w:rPr>
      </w:r>
      <w:r/>
    </w:p>
    <w:p>
      <w:pPr>
        <w:pStyle w:val="962"/>
        <w:ind w:firstLine="0"/>
        <w:jc w:val="right"/>
        <w:spacing w:line="360" w:lineRule="auto"/>
        <w:rPr>
          <w:rFonts w:ascii="宋体" w:hAnsi="宋体" w:eastAsia="宋体" w:cs="宋体"/>
          <w:color w:val="auto"/>
          <w:szCs w:val="24"/>
          <w:highlight w:val="none"/>
        </w:rPr>
      </w:pPr>
      <w:r>
        <w:rPr>
          <w:rFonts w:hint="eastAsia" w:ascii="宋体" w:hAnsi="宋体" w:eastAsia="宋体" w:cs="宋体"/>
          <w:b/>
          <w:bCs/>
          <w:color w:val="auto"/>
          <w:szCs w:val="24"/>
          <w:highlight w:val="none"/>
        </w:rPr>
        <w:t xml:space="preserve">    </w:t>
      </w:r>
      <w:r>
        <w:rPr>
          <w:rFonts w:hint="eastAsia" w:ascii="宋体" w:hAnsi="宋体" w:eastAsia="宋体" w:cs="宋体"/>
          <w:color w:val="auto"/>
          <w:szCs w:val="24"/>
          <w:highlight w:val="none"/>
        </w:rPr>
        <w:t xml:space="preserve">  供应商：         （单位盖章） </w:t>
      </w:r>
      <w:r/>
    </w:p>
    <w:p>
      <w:pPr>
        <w:pStyle w:val="962"/>
        <w:ind w:firstLine="0"/>
        <w:jc w:val="right"/>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  期：       年      月    日</w:t>
      </w:r>
      <w:r/>
    </w:p>
    <w:p>
      <w:pPr>
        <w:pStyle w:val="962"/>
        <w:ind w:firstLine="0"/>
        <w:spacing w:line="360" w:lineRule="auto"/>
        <w:rPr>
          <w:rFonts w:ascii="宋体" w:hAnsi="宋体" w:eastAsia="宋体" w:cs="宋体"/>
          <w:b/>
          <w:bCs/>
          <w:color w:val="auto"/>
          <w:szCs w:val="24"/>
          <w:highlight w:val="none"/>
        </w:rPr>
      </w:pPr>
      <w:r>
        <w:rPr>
          <w:rFonts w:ascii="宋体" w:hAnsi="宋体" w:eastAsia="宋体" w:cs="宋体"/>
          <w:b/>
          <w:bCs/>
          <w:color w:val="auto"/>
          <w:szCs w:val="24"/>
          <w:highlight w:val="none"/>
        </w:rPr>
      </w:r>
      <w:r/>
    </w:p>
    <w:p>
      <w:pPr>
        <w:spacing w:line="3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56"/>
        <w:jc w:val="center"/>
        <w:rPr>
          <w:rFonts w:ascii="宋体" w:hAnsi="宋体" w:eastAsia="宋体" w:cs="宋体"/>
          <w:bCs/>
          <w:color w:val="auto"/>
          <w:sz w:val="21"/>
          <w:szCs w:val="21"/>
          <w:highlight w:val="none"/>
        </w:rPr>
      </w:pPr>
      <w:r>
        <w:rPr>
          <w:rFonts w:hint="eastAsia" w:ascii="宋体" w:hAnsi="宋体" w:eastAsia="宋体" w:cs="宋体"/>
          <w:color w:val="auto"/>
          <w:szCs w:val="21"/>
          <w:highlight w:val="none"/>
          <w:u w:val="single"/>
        </w:rPr>
        <w:br w:type="page" w:clear="all"/>
      </w:r>
      <w:bookmarkStart w:id="33" w:name="_Toc494471873"/>
      <w:r/>
      <w:bookmarkStart w:id="34" w:name="_Toc160701726"/>
      <w:r>
        <w:rPr>
          <w:rFonts w:hint="eastAsia" w:ascii="宋体" w:hAnsi="宋体" w:eastAsia="宋体" w:cs="宋体"/>
          <w:color w:val="auto"/>
          <w:highlight w:val="none"/>
        </w:rPr>
        <w:t xml:space="preserve">第四章 采购内容</w:t>
      </w:r>
      <w:bookmarkEnd w:id="33"/>
      <w:r/>
      <w:bookmarkEnd w:id="34"/>
      <w:r/>
      <w:bookmarkEnd w:id="18"/>
      <w:r/>
      <w:r/>
    </w:p>
    <w:p>
      <w:pPr>
        <w:ind w:firstLine="482"/>
        <w:spacing w:line="360" w:lineRule="auto"/>
        <w:rPr>
          <w:rFonts w:ascii="宋体" w:hAnsi="宋体" w:eastAsia="宋体" w:cs="宋体"/>
          <w:b/>
          <w:color w:val="auto"/>
          <w:sz w:val="24"/>
          <w:szCs w:val="24"/>
          <w:highlight w:val="none"/>
        </w:rPr>
      </w:pPr>
      <w:r/>
      <w:bookmarkStart w:id="35" w:name="_Toc388026587"/>
      <w:r>
        <w:rPr>
          <w:rFonts w:hint="eastAsia" w:ascii="宋体" w:hAnsi="宋体" w:eastAsia="宋体" w:cs="宋体"/>
          <w:b/>
          <w:color w:val="auto"/>
          <w:sz w:val="24"/>
          <w:szCs w:val="24"/>
          <w:highlight w:val="none"/>
          <w:lang w:val="zh-CN"/>
        </w:rPr>
        <w:t xml:space="preserve">受</w:t>
      </w:r>
      <w:r>
        <w:rPr>
          <w:rFonts w:hint="eastAsia" w:ascii="宋体" w:hAnsi="宋体" w:eastAsia="宋体" w:cs="宋体"/>
          <w:b/>
          <w:color w:val="auto"/>
          <w:sz w:val="24"/>
          <w:szCs w:val="24"/>
          <w:highlight w:val="none"/>
          <w:u w:val="single"/>
          <w:lang w:val="zh-CN"/>
        </w:rPr>
        <w:t xml:space="preserve">苏州高等职业技术学校</w:t>
      </w:r>
      <w:r>
        <w:rPr>
          <w:rFonts w:hint="eastAsia" w:ascii="宋体" w:hAnsi="宋体" w:eastAsia="宋体" w:cs="宋体"/>
          <w:b/>
          <w:color w:val="auto"/>
          <w:sz w:val="24"/>
          <w:szCs w:val="24"/>
          <w:highlight w:val="none"/>
          <w:lang w:val="zh-CN"/>
        </w:rPr>
        <w:t xml:space="preserve">的委托，</w:t>
      </w:r>
      <w:r>
        <w:rPr>
          <w:rFonts w:hint="eastAsia" w:ascii="宋体" w:hAnsi="宋体" w:eastAsia="宋体" w:cs="宋体"/>
          <w:b/>
          <w:color w:val="auto"/>
          <w:sz w:val="24"/>
          <w:szCs w:val="24"/>
          <w:highlight w:val="none"/>
          <w:u w:val="single"/>
          <w:lang w:val="zh-CN"/>
        </w:rPr>
        <w:t xml:space="preserve">江苏海外集团国际工程咨询有限公司</w:t>
      </w:r>
      <w:r>
        <w:rPr>
          <w:rFonts w:hint="eastAsia" w:ascii="宋体" w:hAnsi="宋体" w:eastAsia="宋体" w:cs="宋体"/>
          <w:b/>
          <w:color w:val="auto"/>
          <w:sz w:val="24"/>
          <w:szCs w:val="24"/>
          <w:highlight w:val="none"/>
          <w:lang w:val="zh-CN"/>
        </w:rPr>
        <w:t xml:space="preserve">作为招标代理人，为委托人拟采购的</w:t>
      </w:r>
      <w:r>
        <w:rPr>
          <w:rFonts w:hint="eastAsia" w:ascii="宋体" w:hAnsi="宋体" w:eastAsia="宋体" w:cs="宋体"/>
          <w:b/>
          <w:bCs/>
          <w:color w:val="auto"/>
          <w:sz w:val="24"/>
          <w:szCs w:val="24"/>
          <w:highlight w:val="none"/>
          <w:u w:val="single"/>
          <w:lang w:eastAsia="zh-CN"/>
        </w:rPr>
        <w:t xml:space="preserve">苏州高等职业技术学校房屋消防评估服务</w:t>
      </w:r>
      <w:r>
        <w:rPr>
          <w:rFonts w:hint="eastAsia" w:ascii="宋体" w:hAnsi="宋体" w:eastAsia="宋体" w:cs="宋体"/>
          <w:b/>
          <w:color w:val="auto"/>
          <w:sz w:val="24"/>
          <w:szCs w:val="24"/>
          <w:highlight w:val="none"/>
          <w:lang w:val="zh-CN"/>
        </w:rPr>
        <w:t xml:space="preserve">进行国内公开招标。</w:t>
      </w:r>
      <w:r/>
    </w:p>
    <w:p>
      <w:pPr>
        <w:ind w:firstLine="482"/>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rPr>
        <w:t xml:space="preserve">一、招标编号</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JSZC-320500-HWZX-G2025-0768</w:t>
      </w:r>
      <w:r/>
    </w:p>
    <w:p>
      <w:pPr>
        <w:ind w:firstLine="482"/>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rPr>
        <w:t xml:space="preserve">二、招标内容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苏州高等职业技术学校房屋消防评估服务</w:t>
      </w:r>
      <w:r/>
    </w:p>
    <w:p>
      <w:pPr>
        <w:ind w:firstLine="482"/>
        <w:spacing w:line="360" w:lineRule="auto"/>
        <w:rPr>
          <w:rFonts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三、</w:t>
      </w:r>
      <w:bookmarkStart w:id="36" w:name="OLE_LINK5"/>
      <w:r>
        <w:rPr>
          <w:rFonts w:hint="eastAsia" w:ascii="宋体" w:hAnsi="宋体" w:eastAsia="宋体" w:cs="宋体"/>
          <w:b/>
          <w:bCs w:val="0"/>
          <w:color w:val="auto"/>
          <w:sz w:val="24"/>
          <w:szCs w:val="24"/>
          <w:highlight w:val="none"/>
        </w:rPr>
        <w:t xml:space="preserve">采购预算及最高限价</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1、预算金额：</w:t>
      </w:r>
      <w:r>
        <w:rPr>
          <w:rFonts w:hint="eastAsia" w:ascii="宋体" w:hAnsi="宋体" w:eastAsia="宋体" w:cs="宋体"/>
          <w:color w:val="auto"/>
          <w:sz w:val="24"/>
          <w:szCs w:val="24"/>
          <w:highlight w:val="none"/>
          <w:lang w:eastAsia="zh-CN"/>
        </w:rPr>
        <w:t xml:space="preserve">679998.00</w:t>
      </w:r>
      <w:r>
        <w:rPr>
          <w:rFonts w:hint="eastAsia" w:ascii="宋体" w:hAnsi="宋体" w:eastAsia="宋体" w:cs="宋体"/>
          <w:color w:val="auto"/>
          <w:sz w:val="24"/>
          <w:szCs w:val="24"/>
          <w:highlight w:val="none"/>
        </w:rPr>
        <w:t xml:space="preserve">元</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2、最高限价：</w:t>
      </w:r>
      <w:r>
        <w:rPr>
          <w:rFonts w:hint="eastAsia" w:ascii="宋体" w:hAnsi="宋体" w:eastAsia="宋体" w:cs="宋体"/>
          <w:bCs/>
          <w:color w:val="auto"/>
          <w:sz w:val="24"/>
          <w:szCs w:val="24"/>
          <w:highlight w:val="none"/>
          <w:lang w:eastAsia="zh-CN"/>
        </w:rPr>
        <w:t xml:space="preserve">总价限价：679998.00元；单价限价：6元/平方米</w:t>
      </w:r>
      <w:bookmarkEnd w:id="36"/>
      <w:r/>
      <w:r/>
    </w:p>
    <w:p>
      <w:pPr>
        <w:ind w:firstLine="482"/>
        <w:spacing w:line="360" w:lineRule="auto"/>
        <w:rPr>
          <w:rFonts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四、采购需求：</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1、项目背景</w:t>
      </w:r>
      <w:r/>
    </w:p>
    <w:p>
      <w:pPr>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为</w:t>
      </w:r>
      <w:r>
        <w:rPr>
          <w:rFonts w:hint="eastAsia" w:ascii="宋体" w:hAnsi="宋体" w:eastAsia="宋体" w:cs="宋体"/>
          <w:b w:val="0"/>
          <w:bCs w:val="0"/>
          <w:color w:val="000000"/>
          <w:sz w:val="24"/>
          <w:szCs w:val="24"/>
          <w:highlight w:val="none"/>
        </w:rPr>
        <w:t xml:space="preserve">响应苏州市政府关于推进国有资产清查和不动产登记有关工作，对本单位不动产登记项目进行消防安全评估，作为不动产登记材料。</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服务内容</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根据现行法律法规和标准规范对评估对象进行全面</w:t>
      </w:r>
      <w:r>
        <w:rPr>
          <w:rFonts w:hint="eastAsia" w:ascii="宋体" w:hAnsi="宋体" w:eastAsia="宋体" w:cs="宋体"/>
          <w:color w:val="000000"/>
          <w:sz w:val="24"/>
          <w:szCs w:val="24"/>
          <w:highlight w:val="none"/>
          <w:lang w:val="en-US" w:eastAsia="zh-CN"/>
        </w:rPr>
        <w:t xml:space="preserve">消防</w:t>
      </w:r>
      <w:r>
        <w:rPr>
          <w:rFonts w:hint="eastAsia" w:ascii="宋体" w:hAnsi="宋体" w:eastAsia="宋体" w:cs="宋体"/>
          <w:color w:val="000000"/>
          <w:sz w:val="24"/>
          <w:szCs w:val="24"/>
          <w:highlight w:val="none"/>
        </w:rPr>
        <w:t xml:space="preserve">评估，并出具</w:t>
      </w:r>
      <w:r>
        <w:rPr>
          <w:rFonts w:hint="eastAsia" w:ascii="宋体" w:hAnsi="宋体" w:eastAsia="宋体" w:cs="宋体"/>
          <w:color w:val="000000"/>
          <w:sz w:val="24"/>
          <w:szCs w:val="24"/>
          <w:highlight w:val="none"/>
          <w:lang w:val="en-US" w:eastAsia="zh-CN"/>
        </w:rPr>
        <w:t xml:space="preserve">消防</w:t>
      </w:r>
      <w:r>
        <w:rPr>
          <w:rFonts w:hint="eastAsia" w:ascii="宋体" w:hAnsi="宋体" w:eastAsia="宋体" w:cs="宋体"/>
          <w:color w:val="000000"/>
          <w:sz w:val="24"/>
          <w:szCs w:val="24"/>
          <w:highlight w:val="none"/>
        </w:rPr>
        <w:t xml:space="preserve">评估报告</w:t>
      </w:r>
      <w:r>
        <w:rPr>
          <w:rFonts w:hint="eastAsia" w:ascii="宋体" w:hAnsi="宋体" w:eastAsia="宋体" w:cs="宋体"/>
          <w:color w:val="000000"/>
          <w:sz w:val="24"/>
          <w:szCs w:val="24"/>
          <w:highlight w:val="none"/>
          <w:lang w:eastAsia="zh-CN"/>
        </w:rPr>
        <w:t xml:space="preserve">，报告格式及内容应满足当地主管部门要求。</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3、检查范围</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共计36幢建筑物，建筑面积约11.43万平方米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建筑面积以检测现场实际情况为准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pStyle w:val="987"/>
        <w:ind w:firstLine="482"/>
        <w:jc w:val="left"/>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4、本项目以国家法律法规及相关标准规范要求为依据，包括但不限于：</w:t>
      </w:r>
      <w:r/>
    </w:p>
    <w:p>
      <w:pPr>
        <w:pStyle w:val="987"/>
        <w:ind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（1）《中华人民共和国安全生产法》（2021年修订）</w:t>
      </w:r>
      <w:r/>
    </w:p>
    <w:p>
      <w:pPr>
        <w:pStyle w:val="987"/>
        <w:ind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（2）《中华人民共和国消防法》（2021年修订）</w:t>
      </w:r>
      <w:r/>
    </w:p>
    <w:p>
      <w:pPr>
        <w:pStyle w:val="987"/>
        <w:ind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（3）《江苏省安全生产条例》（2023年修订）</w:t>
      </w:r>
      <w:r/>
    </w:p>
    <w:p>
      <w:pPr>
        <w:pStyle w:val="987"/>
        <w:ind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（4）《江苏省消防条例》（2023年修订）</w:t>
      </w:r>
      <w:r/>
    </w:p>
    <w:p>
      <w:pPr>
        <w:pStyle w:val="987"/>
        <w:ind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（5）《建设工程消防监督管理规定》（2012年修订）</w:t>
      </w:r>
      <w:r/>
    </w:p>
    <w:p>
      <w:pPr>
        <w:pStyle w:val="987"/>
        <w:ind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（6）《租赁厂房和仓库消防安全管理办法（试行）》（2023年7月）</w:t>
      </w:r>
      <w:r/>
    </w:p>
    <w:p>
      <w:pPr>
        <w:pStyle w:val="987"/>
        <w:ind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（7）《高层民用建筑消防安全管理规定》（应急管理部第5号令）</w:t>
      </w:r>
      <w:r/>
    </w:p>
    <w:p>
      <w:pPr>
        <w:pStyle w:val="987"/>
        <w:ind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（8）《单位消防安全管理规范》（DB32/T 4444-2023）</w:t>
      </w:r>
      <w:r/>
    </w:p>
    <w:p>
      <w:pPr>
        <w:pStyle w:val="987"/>
        <w:ind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（9）《建筑防火设计规范》（GB 50016）</w:t>
      </w:r>
      <w:r/>
    </w:p>
    <w:p>
      <w:pPr>
        <w:pStyle w:val="987"/>
        <w:ind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（10）《自动喷水灭火系统设计规范》（GB 50084）</w:t>
      </w:r>
      <w:r/>
    </w:p>
    <w:p>
      <w:pPr>
        <w:pStyle w:val="987"/>
        <w:ind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（11）《建筑内部装修设计防火规范》（GB 50222）</w:t>
      </w:r>
      <w:r/>
    </w:p>
    <w:p>
      <w:pPr>
        <w:pStyle w:val="987"/>
        <w:ind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（12）《消防给水及消火栓系统技术规范》（GB 50974）</w:t>
      </w:r>
      <w:r/>
    </w:p>
    <w:p>
      <w:pPr>
        <w:pStyle w:val="987"/>
        <w:ind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（13）《消防应急照明和疏散指示系统技术标准》（GB 51309）</w:t>
      </w:r>
      <w:r/>
    </w:p>
    <w:p>
      <w:pPr>
        <w:pStyle w:val="987"/>
        <w:ind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（14）其他法律法规和标准规范要求。</w:t>
      </w:r>
      <w:r/>
    </w:p>
    <w:p>
      <w:pPr>
        <w:pStyle w:val="987"/>
        <w:ind w:firstLine="482"/>
        <w:jc w:val="left"/>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5、检查内容要求</w:t>
      </w:r>
      <w:r/>
    </w:p>
    <w:p>
      <w:pPr>
        <w:pStyle w:val="987"/>
        <w:ind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（1）建筑防火检查。</w:t>
      </w:r>
      <w:r/>
    </w:p>
    <w:p>
      <w:pPr>
        <w:pStyle w:val="987"/>
        <w:ind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（2）建筑消防设施检查。</w:t>
      </w:r>
      <w:r/>
    </w:p>
    <w:p>
      <w:pPr>
        <w:pStyle w:val="987"/>
        <w:ind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（3）消防安全管理检查。</w:t>
      </w:r>
      <w:r/>
    </w:p>
    <w:p>
      <w:pPr>
        <w:pStyle w:val="987"/>
        <w:ind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（4）消防隐患及整改建议。</w:t>
      </w:r>
      <w:r/>
    </w:p>
    <w:p>
      <w:pPr>
        <w:pStyle w:val="987"/>
        <w:ind w:firstLine="482"/>
        <w:jc w:val="left"/>
        <w:spacing w:after="0" w:line="360" w:lineRule="auto"/>
        <w:rPr>
          <w:rFonts w:hint="default"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rPr>
        <w:t xml:space="preserve">6、</w:t>
      </w:r>
      <w:r>
        <w:rPr>
          <w:rFonts w:hint="eastAsia" w:ascii="宋体" w:hAnsi="宋体" w:eastAsia="宋体" w:cs="宋体"/>
          <w:b/>
          <w:bCs/>
          <w:color w:val="000000"/>
          <w:sz w:val="24"/>
          <w:szCs w:val="24"/>
          <w:highlight w:val="none"/>
          <w:lang w:val="en-US" w:eastAsia="zh-CN"/>
        </w:rPr>
        <w:t xml:space="preserve">服务要求</w:t>
      </w:r>
      <w:r/>
    </w:p>
    <w:p>
      <w:pPr>
        <w:pStyle w:val="987"/>
        <w:ind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（1）人员配置要求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除项目负责人外</w:t>
      </w:r>
      <w:r>
        <w:rPr>
          <w:rFonts w:hint="eastAsia" w:ascii="宋体" w:hAnsi="宋体" w:eastAsia="宋体" w:cs="宋体"/>
          <w:color w:val="000000"/>
          <w:sz w:val="24"/>
          <w:szCs w:val="24"/>
          <w:highlight w:val="none"/>
          <w:lang w:eastAsia="zh-CN"/>
        </w:rPr>
        <w:t xml:space="preserve">）</w:t>
      </w:r>
      <w:r/>
    </w:p>
    <w:p>
      <w:pPr>
        <w:pStyle w:val="987"/>
        <w:ind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技术负责人1人，</w:t>
      </w:r>
      <w:r>
        <w:rPr>
          <w:rFonts w:hint="eastAsia" w:ascii="宋体" w:hAnsi="宋体" w:eastAsia="宋体" w:cs="宋体"/>
          <w:color w:val="000000"/>
          <w:sz w:val="24"/>
          <w:szCs w:val="24"/>
          <w:highlight w:val="none"/>
          <w:lang w:val="en-US" w:eastAsia="zh-CN"/>
        </w:rPr>
        <w:t xml:space="preserve">具有</w:t>
      </w:r>
      <w:r>
        <w:rPr>
          <w:rFonts w:hint="eastAsia" w:ascii="宋体" w:hAnsi="宋体" w:eastAsia="宋体" w:cs="宋体"/>
          <w:color w:val="000000"/>
          <w:sz w:val="24"/>
          <w:szCs w:val="24"/>
          <w:highlight w:val="none"/>
        </w:rPr>
        <w:t xml:space="preserve">一级注册消防工程师执业资格（</w:t>
      </w:r>
      <w:r>
        <w:rPr>
          <w:rFonts w:hint="eastAsia" w:ascii="宋体" w:hAnsi="宋体" w:eastAsia="宋体" w:cs="宋体"/>
          <w:color w:val="000000"/>
          <w:sz w:val="24"/>
          <w:szCs w:val="24"/>
          <w:highlight w:val="none"/>
          <w:lang w:val="en-US" w:eastAsia="zh-CN"/>
        </w:rPr>
        <w:t xml:space="preserve">投标文件中需</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en-US" w:eastAsia="zh-CN"/>
        </w:rPr>
        <w:t xml:space="preserve">人员证书扫描件、在社会消防技术服务信息系统备案的截图以及</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为其缴纳的</w:t>
      </w:r>
      <w:r>
        <w:rPr>
          <w:rFonts w:hint="eastAsia" w:ascii="宋体" w:hAnsi="宋体" w:eastAsia="宋体" w:cs="宋体"/>
          <w:color w:val="000000"/>
          <w:sz w:val="24"/>
          <w:szCs w:val="24"/>
          <w:highlight w:val="none"/>
          <w:lang w:val="en-US" w:eastAsia="zh-CN"/>
        </w:rPr>
        <w:t xml:space="preserve">最近一期</w:t>
      </w:r>
      <w:r>
        <w:rPr>
          <w:rFonts w:hint="eastAsia" w:ascii="宋体" w:hAnsi="宋体" w:eastAsia="宋体" w:cs="宋体"/>
          <w:color w:val="000000"/>
          <w:sz w:val="24"/>
          <w:szCs w:val="24"/>
          <w:highlight w:val="none"/>
        </w:rPr>
        <w:t xml:space="preserve">社保证明</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未提供视为未实质性响应招标文件，作无效标处理</w:t>
      </w:r>
      <w:r>
        <w:rPr>
          <w:rFonts w:hint="eastAsia" w:ascii="宋体" w:hAnsi="宋体" w:eastAsia="宋体" w:cs="宋体"/>
          <w:color w:val="000000"/>
          <w:sz w:val="24"/>
          <w:szCs w:val="24"/>
          <w:highlight w:val="none"/>
        </w:rPr>
        <w:t xml:space="preserve">）。</w:t>
      </w:r>
      <w:r/>
    </w:p>
    <w:p>
      <w:pPr>
        <w:pStyle w:val="987"/>
        <w:numPr>
          <w:ilvl w:val="0"/>
          <w:numId w:val="0"/>
        </w:numPr>
        <w:ind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设备配置要求</w:t>
      </w:r>
      <w:r/>
    </w:p>
    <w:p>
      <w:pPr>
        <w:pStyle w:val="987"/>
        <w:numPr>
          <w:ilvl w:val="0"/>
          <w:numId w:val="0"/>
        </w:numPr>
        <w:ind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须按照消防评估要求，配备本项目所需的相应设施设备，包含</w:t>
      </w:r>
      <w:r>
        <w:rPr>
          <w:rFonts w:hint="eastAsia" w:ascii="宋体" w:hAnsi="宋体" w:eastAsia="宋体" w:cs="宋体"/>
          <w:color w:val="000000"/>
          <w:sz w:val="24"/>
          <w:szCs w:val="24"/>
          <w:highlight w:val="none"/>
          <w:lang w:val="en-US" w:eastAsia="zh-CN"/>
        </w:rPr>
        <w:t xml:space="preserve">但</w:t>
      </w:r>
      <w:r>
        <w:rPr>
          <w:rFonts w:hint="eastAsia" w:ascii="宋体" w:hAnsi="宋体" w:eastAsia="宋体" w:cs="宋体"/>
          <w:color w:val="000000"/>
          <w:sz w:val="24"/>
          <w:szCs w:val="24"/>
          <w:highlight w:val="none"/>
        </w:rPr>
        <w:t xml:space="preserve">不限于烟气分析仪、烟密度仪和辐射热通量计等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并在投标文件中提供相应证明材料（包括但不限于设备图片、购置合同等）</w:t>
      </w:r>
      <w:r>
        <w:rPr>
          <w:rFonts w:hint="eastAsia" w:ascii="宋体" w:hAnsi="宋体" w:eastAsia="宋体" w:cs="宋体"/>
          <w:b/>
          <w:bCs/>
          <w:color w:val="000000"/>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验收标准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（1）按照采购文件要求及相关标准进行验收</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验收过程中如发现问题，供应商应在规定时间内进行整改，直至验收合格。</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五、其他要求</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1、供应商提供的服务能够至少达到以上要求，同时明确详细的服务方案，请充分考虑项目实施过程中的人员安排。</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2、供应商必须承诺招标文件中提出的全部要求，如果其中某些条款不响应时，应在文件中逐条列出，未列出的视同响应。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若成交单位在服务期间未及时有效履行上述服务内容的，每次违约扣除不超过合同总金额的5%作为违约金（有其他注明的违约条款按注明内容扣除违约金）；若出现重大责任问题或考核不达标将被解除服务合同。</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4、供应商应对所投项目的全部内容进行报价，只投其中部分内容者，其响应文件将被拒绝。成交单位对服务缺陷不予更正，采购方有权另请其他单位更正，</w:t>
      </w:r>
      <w:r>
        <w:rPr>
          <w:rFonts w:hint="eastAsia" w:ascii="宋体" w:hAnsi="宋体" w:eastAsia="宋体" w:cs="宋体"/>
          <w:color w:val="auto"/>
          <w:sz w:val="24"/>
          <w:szCs w:val="24"/>
          <w:highlight w:val="none"/>
          <w:shd w:val="clear" w:color="auto" w:fill="ffffff"/>
        </w:rPr>
        <w:t xml:space="preserve">费用由成交单位支付。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响应报价为综合报价，包含完成全部服务内容所需的人工费用、税费、利润、其它临时性杂项应急服务费用、劳保与培训、政策性文件规定及合同包含的所有风险、责任等服务过程中所需的全部费用。响应报价为最终报价，除非因特殊原因并经双方协商同意，供应商不得再要求追加任何费用。同时，除非合同条款中另有规定，否则，成交价格在合同实施期间不因市场变化因素而变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6、采购单位除以上服务费用外不再承担其它任何费用。工作人员的薪金、福利、休假日补贴、加班费、医疗费用等均由成交单位负责，与采购方无关。</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7、供应商制定合理的项目实施计划，配备人员数量应满足项目需要，不得因为职责和时间交叉影响项目的完成进度。</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9、成交单位工作人员在岗履行职责期间（包括上下班途中），发生自身的人身伤害、伤亡，均由成交单位负责处理并承担经济和道义上的责任，采购单位不承担任何责任。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10政府采购合同履行中，招标人需追加与合同标的物相同的服务的，在不改变合同其他条款的前提下，招标人可以与供应商签订补充合同，但所有补充合同的采购金额不得超过原合同采购金额的百分之十。</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成交单位需严格按采购单位规定的时间完成项目的全部工作内容，如在实施的过程中出现错误，误差，需负责及时更正直至采购单位确认，成交单位在项目进行过程中产生的任何安全、损坏等责任事故一律由成交单位自行承担。如遇突发情况，成交单位需协助采购单位完成需要成交单位配合的服务。</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未经招标人书面同意，成交单位不得将本项目的任何部分转包或分包给其他单位或个人，对在服务过程中获取的客户信息和业务数据严格保密，不得泄露给任何第三方。若成交单位在服务期间，违反下列规定将被解除服务合同，并扣除剩余待支付费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（1）将服务转包、分包他人。</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（2）出现重大责任问题。</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（3）泄露相关保密信息。</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14、如发现以下情况，采购单位可以单方面提出终止合同，成交单位必须无条件配合在一周时间内退场，采购单位不需要承担任何赔偿：</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（1）成交单位提供材料有造假情况；</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（2）成交单位进场时提供的人员及资质要求不能满足采购要求，并在获得采购单位书面整改通知</w:t>
      </w:r>
      <w:r>
        <w:rPr>
          <w:rFonts w:hint="eastAsia" w:ascii="宋体" w:hAnsi="宋体" w:eastAsia="宋体" w:cs="宋体"/>
          <w:color w:val="auto"/>
          <w:sz w:val="24"/>
          <w:szCs w:val="24"/>
          <w:highlight w:val="none"/>
          <w:shd w:val="clear" w:color="auto" w:fill="ffffff"/>
          <w:lang w:val="en-US" w:eastAsia="zh-CN"/>
        </w:rPr>
        <w:t xml:space="preserve">后</w:t>
      </w:r>
      <w:r>
        <w:rPr>
          <w:rFonts w:hint="eastAsia" w:ascii="宋体" w:hAnsi="宋体" w:eastAsia="宋体" w:cs="宋体"/>
          <w:color w:val="auto"/>
          <w:sz w:val="24"/>
          <w:szCs w:val="24"/>
          <w:highlight w:val="none"/>
          <w:shd w:val="clear" w:color="auto" w:fill="ffffff"/>
        </w:rPr>
        <w:t xml:space="preserve">仍旧未能全部响应；</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（3）法律法规、合同约定或考核办法中规定的终止合同的情况。</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15、付款方式：详见合同主要条款。</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16、凡涉及采购文件的补充说明和修改，均以苏州政府采购网发布的内容为准。</w:t>
      </w:r>
      <w:r/>
    </w:p>
    <w:p>
      <w:pPr>
        <w:ind w:firstLine="480"/>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56"/>
        <w:jc w:val="center"/>
        <w:rPr>
          <w:rFonts w:ascii="宋体" w:hAnsi="宋体" w:eastAsia="宋体" w:cs="宋体"/>
          <w:color w:val="auto"/>
          <w:highlight w:val="none"/>
        </w:rPr>
      </w:pPr>
      <w:r/>
      <w:bookmarkStart w:id="37" w:name="_Toc494471874"/>
      <w:r/>
      <w:bookmarkStart w:id="38" w:name="_Toc160701727"/>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第五章 合同主要条款</w:t>
      </w:r>
      <w:bookmarkEnd w:id="35"/>
      <w:r/>
      <w:bookmarkEnd w:id="37"/>
      <w:r/>
      <w:bookmarkEnd w:id="38"/>
      <w:r/>
      <w:r/>
    </w:p>
    <w:p>
      <w:pPr>
        <w:jc w:val="center"/>
        <w:widowControl/>
        <w:rPr>
          <w:rFonts w:ascii="宋体" w:hAnsi="宋体" w:eastAsia="宋体" w:cs="宋体"/>
          <w:b/>
          <w:color w:val="auto"/>
          <w:sz w:val="28"/>
          <w:szCs w:val="28"/>
          <w:highlight w:val="none"/>
        </w:rPr>
      </w:pPr>
      <w:r/>
      <w:bookmarkStart w:id="39" w:name="_Toc494471875"/>
      <w:r/>
      <w:bookmarkStart w:id="40" w:name="_Toc160701728"/>
      <w:r/>
      <w:bookmarkStart w:id="41" w:name="_Toc388026588"/>
      <w:r>
        <w:rPr>
          <w:rFonts w:hint="eastAsia" w:ascii="宋体" w:hAnsi="宋体" w:eastAsia="宋体" w:cs="宋体"/>
          <w:b/>
          <w:color w:val="auto"/>
          <w:sz w:val="28"/>
          <w:szCs w:val="28"/>
          <w:highlight w:val="none"/>
        </w:rPr>
        <w:t xml:space="preserve">政府采购合同</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甲方： </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乙方：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甲乙双方根据《中华人民共和国</w:t>
      </w:r>
      <w:r>
        <w:rPr>
          <w:rFonts w:hint="eastAsia" w:ascii="宋体" w:hAnsi="宋体" w:eastAsia="宋体" w:cs="宋体"/>
          <w:color w:val="000000"/>
          <w:sz w:val="24"/>
          <w:szCs w:val="24"/>
          <w:highlight w:val="none"/>
          <w:lang w:eastAsia="zh-CN"/>
        </w:rPr>
        <w:t xml:space="preserve">民法典</w:t>
      </w:r>
      <w:r>
        <w:rPr>
          <w:rFonts w:hint="eastAsia" w:ascii="宋体" w:hAnsi="宋体" w:eastAsia="宋体" w:cs="宋体"/>
          <w:color w:val="000000"/>
          <w:sz w:val="24"/>
          <w:szCs w:val="24"/>
          <w:highlight w:val="none"/>
        </w:rPr>
        <w:t xml:space="preserve">》、《中华人民共和国消防法》和《江苏省消防条例》等规定，结合具体情况，经协商达成如下协议，共同遵守：</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val="en-US"/>
        </w:rPr>
        <w:t xml:space="preserve">委托内容、范围及要求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lang w:val="en-US"/>
        </w:rPr>
        <w:t xml:space="preserve">名称：</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rPr>
        <w:t xml:space="preserve"> </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lang w:val="en-US"/>
        </w:rPr>
        <w:t xml:space="preserve">地点∶</w:t>
      </w:r>
      <w:r>
        <w:rPr>
          <w:rFonts w:hint="eastAsia" w:ascii="宋体" w:hAnsi="宋体" w:eastAsia="宋体" w:cs="宋体"/>
          <w:sz w:val="24"/>
          <w:szCs w:val="24"/>
          <w:highlight w:val="none"/>
          <w:u w:val="single"/>
          <w:lang w:val="en-US" w:eastAsia="zh-CN"/>
        </w:rPr>
        <w:t xml:space="preserve">               </w:t>
      </w:r>
      <w:r/>
    </w:p>
    <w:p>
      <w:pPr>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highlight w:val="none"/>
          <w:lang w:val="en-US"/>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val="en-US"/>
        </w:rPr>
        <w:t xml:space="preserve">评估内容</w:t>
      </w:r>
      <w:r/>
    </w:p>
    <w:p>
      <w:p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详见招标文件</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、甲方的权利、义务</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1、有权核查乙方</w:t>
      </w:r>
      <w:r>
        <w:rPr>
          <w:rFonts w:hint="eastAsia" w:ascii="宋体" w:hAnsi="宋体" w:eastAsia="宋体" w:cs="宋体"/>
          <w:sz w:val="24"/>
          <w:szCs w:val="24"/>
          <w:highlight w:val="none"/>
          <w:lang w:val="en-US" w:eastAsia="zh-CN"/>
        </w:rPr>
        <w:t xml:space="preserve">评估</w:t>
      </w:r>
      <w:r>
        <w:rPr>
          <w:rFonts w:hint="eastAsia" w:ascii="宋体" w:hAnsi="宋体" w:eastAsia="宋体" w:cs="宋体"/>
          <w:sz w:val="24"/>
          <w:szCs w:val="24"/>
          <w:highlight w:val="none"/>
          <w:lang w:val="en-US"/>
        </w:rPr>
        <w:t xml:space="preserve">机构资质证书和现场</w:t>
      </w:r>
      <w:r>
        <w:rPr>
          <w:rFonts w:hint="eastAsia" w:ascii="宋体" w:hAnsi="宋体" w:eastAsia="宋体" w:cs="宋体"/>
          <w:sz w:val="24"/>
          <w:szCs w:val="24"/>
          <w:highlight w:val="none"/>
          <w:lang w:val="en-US" w:eastAsia="zh-CN"/>
        </w:rPr>
        <w:t xml:space="preserve">评估</w:t>
      </w:r>
      <w:r>
        <w:rPr>
          <w:rFonts w:hint="eastAsia" w:ascii="宋体" w:hAnsi="宋体" w:eastAsia="宋体" w:cs="宋体"/>
          <w:sz w:val="24"/>
          <w:szCs w:val="24"/>
          <w:highlight w:val="none"/>
          <w:lang w:val="en-US"/>
        </w:rPr>
        <w:t xml:space="preserve">人员执业资格证书。</w:t>
      </w:r>
      <w:r/>
    </w:p>
    <w:p>
      <w:pPr>
        <w:pStyle w:val="970"/>
        <w:ind w:left="0" w:right="0" w:firstLine="480"/>
        <w:rPr>
          <w:rFonts w:hint="eastAsia" w:eastAsia="宋体"/>
          <w:highlight w:val="none"/>
          <w:lang w:val="en-US" w:eastAsia="zh-CN"/>
        </w:rPr>
      </w:pPr>
      <w:r>
        <w:rPr>
          <w:rFonts w:hint="eastAsia" w:ascii="宋体" w:hAnsi="宋体" w:eastAsia="宋体" w:cs="宋体"/>
          <w:sz w:val="24"/>
          <w:szCs w:val="24"/>
          <w:highlight w:val="none"/>
          <w:lang w:val="en-US" w:eastAsia="zh-CN"/>
        </w:rPr>
        <w:t xml:space="preserve">2、向乙方提供下列资料（如有）：消防系统安装竣工图、隐蔽工程记录、工程自检自测记录、系统运行（值班）记录、通过消防设计审核或备案的证明文件和消防设计图纸。</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rPr>
        <w:t xml:space="preserve">、乙方到场</w:t>
      </w:r>
      <w:r>
        <w:rPr>
          <w:rFonts w:hint="eastAsia" w:ascii="宋体" w:hAnsi="宋体" w:eastAsia="宋体" w:cs="宋体"/>
          <w:sz w:val="24"/>
          <w:szCs w:val="24"/>
          <w:highlight w:val="none"/>
          <w:lang w:val="en-US" w:eastAsia="zh-CN"/>
        </w:rPr>
        <w:t xml:space="preserve">评估</w:t>
      </w:r>
      <w:r>
        <w:rPr>
          <w:rFonts w:hint="eastAsia" w:ascii="宋体" w:hAnsi="宋体" w:eastAsia="宋体" w:cs="宋体"/>
          <w:sz w:val="24"/>
          <w:szCs w:val="24"/>
          <w:highlight w:val="none"/>
          <w:lang w:val="en-US"/>
        </w:rPr>
        <w:t xml:space="preserve">时，应提供必要的协助。</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四</w:t>
      </w:r>
      <w:r>
        <w:rPr>
          <w:rFonts w:hint="eastAsia" w:ascii="宋体" w:hAnsi="宋体" w:eastAsia="宋体" w:cs="宋体"/>
          <w:b/>
          <w:bCs/>
          <w:color w:val="000000"/>
          <w:sz w:val="24"/>
          <w:szCs w:val="24"/>
          <w:highlight w:val="none"/>
        </w:rPr>
        <w:t xml:space="preserve">、乙方的权利、义务</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1、具备</w:t>
      </w:r>
      <w:r>
        <w:rPr>
          <w:rFonts w:hint="eastAsia" w:ascii="宋体" w:hAnsi="宋体" w:eastAsia="宋体" w:cs="宋体"/>
          <w:sz w:val="24"/>
          <w:szCs w:val="24"/>
          <w:highlight w:val="none"/>
          <w:lang w:val="en-US" w:eastAsia="zh-CN"/>
        </w:rPr>
        <w:t xml:space="preserve">评估</w:t>
      </w:r>
      <w:r>
        <w:rPr>
          <w:rFonts w:hint="eastAsia" w:ascii="宋体" w:hAnsi="宋体" w:eastAsia="宋体" w:cs="宋体"/>
          <w:sz w:val="24"/>
          <w:szCs w:val="24"/>
          <w:highlight w:val="none"/>
          <w:lang w:val="en-US"/>
        </w:rPr>
        <w:t xml:space="preserve">的相应资质、资格，依照法律法规、技术标准和执业准则，开展</w:t>
      </w:r>
      <w:r>
        <w:rPr>
          <w:rFonts w:hint="eastAsia" w:ascii="宋体" w:hAnsi="宋体" w:eastAsia="宋体" w:cs="宋体"/>
          <w:sz w:val="24"/>
          <w:szCs w:val="24"/>
          <w:highlight w:val="none"/>
          <w:lang w:val="en-US" w:eastAsia="zh-CN"/>
        </w:rPr>
        <w:t xml:space="preserve">评估</w:t>
      </w:r>
      <w:r>
        <w:rPr>
          <w:rFonts w:hint="eastAsia" w:ascii="宋体" w:hAnsi="宋体" w:eastAsia="宋体" w:cs="宋体"/>
          <w:sz w:val="24"/>
          <w:szCs w:val="24"/>
          <w:highlight w:val="none"/>
          <w:lang w:val="en-US"/>
        </w:rPr>
        <w:t xml:space="preserve">技术服务活动，对</w:t>
      </w:r>
      <w:r>
        <w:rPr>
          <w:rFonts w:hint="eastAsia" w:ascii="宋体" w:hAnsi="宋体" w:eastAsia="宋体" w:cs="宋体"/>
          <w:sz w:val="24"/>
          <w:szCs w:val="24"/>
          <w:highlight w:val="none"/>
          <w:lang w:val="en-US" w:eastAsia="zh-CN"/>
        </w:rPr>
        <w:t xml:space="preserve">评估</w:t>
      </w:r>
      <w:r>
        <w:rPr>
          <w:rFonts w:hint="eastAsia" w:ascii="宋体" w:hAnsi="宋体" w:eastAsia="宋体" w:cs="宋体"/>
          <w:sz w:val="24"/>
          <w:szCs w:val="24"/>
          <w:highlight w:val="none"/>
          <w:lang w:val="en-US"/>
        </w:rPr>
        <w:t xml:space="preserve">质量负责。</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2、根据</w:t>
      </w:r>
      <w:r>
        <w:rPr>
          <w:rFonts w:hint="eastAsia" w:ascii="宋体" w:hAnsi="宋体" w:eastAsia="宋体" w:cs="宋体"/>
          <w:sz w:val="24"/>
          <w:szCs w:val="24"/>
          <w:highlight w:val="none"/>
          <w:lang w:val="en-US" w:eastAsia="zh-CN"/>
        </w:rPr>
        <w:t xml:space="preserve">评估</w:t>
      </w:r>
      <w:r>
        <w:rPr>
          <w:rFonts w:hint="eastAsia" w:ascii="宋体" w:hAnsi="宋体" w:eastAsia="宋体" w:cs="宋体"/>
          <w:sz w:val="24"/>
          <w:szCs w:val="24"/>
          <w:highlight w:val="none"/>
          <w:lang w:val="en-US"/>
        </w:rPr>
        <w:t xml:space="preserve">对象的具体情况，拟定具体的</w:t>
      </w:r>
      <w:r>
        <w:rPr>
          <w:rFonts w:hint="eastAsia" w:ascii="宋体" w:hAnsi="宋体" w:eastAsia="宋体" w:cs="宋体"/>
          <w:sz w:val="24"/>
          <w:szCs w:val="24"/>
          <w:highlight w:val="none"/>
          <w:lang w:val="en-US" w:eastAsia="zh-CN"/>
        </w:rPr>
        <w:t xml:space="preserve">评估</w:t>
      </w:r>
      <w:r>
        <w:rPr>
          <w:rFonts w:hint="eastAsia" w:ascii="宋体" w:hAnsi="宋体" w:eastAsia="宋体" w:cs="宋体"/>
          <w:sz w:val="24"/>
          <w:szCs w:val="24"/>
          <w:highlight w:val="none"/>
          <w:lang w:val="en-US"/>
        </w:rPr>
        <w:t xml:space="preserve">方案，明确项目负责人，至少指定2名以上执业人员负责实施。执业人员</w:t>
      </w:r>
      <w:r>
        <w:rPr>
          <w:rFonts w:hint="eastAsia" w:ascii="宋体" w:hAnsi="宋体" w:eastAsia="宋体" w:cs="宋体"/>
          <w:sz w:val="24"/>
          <w:szCs w:val="24"/>
          <w:highlight w:val="none"/>
          <w:lang w:val="en-US" w:eastAsia="zh-CN"/>
        </w:rPr>
        <w:t xml:space="preserve">评估</w:t>
      </w:r>
      <w:r>
        <w:rPr>
          <w:rFonts w:hint="eastAsia" w:ascii="宋体" w:hAnsi="宋体" w:eastAsia="宋体" w:cs="宋体"/>
          <w:sz w:val="24"/>
          <w:szCs w:val="24"/>
          <w:highlight w:val="none"/>
          <w:lang w:val="en-US"/>
        </w:rPr>
        <w:t xml:space="preserve">时应当认真如实填写</w:t>
      </w:r>
      <w:r>
        <w:rPr>
          <w:rFonts w:hint="eastAsia" w:ascii="宋体" w:hAnsi="宋体" w:eastAsia="宋体" w:cs="宋体"/>
          <w:sz w:val="24"/>
          <w:szCs w:val="24"/>
          <w:highlight w:val="none"/>
          <w:lang w:val="en-US" w:eastAsia="zh-CN"/>
        </w:rPr>
        <w:t xml:space="preserve">评估</w:t>
      </w:r>
      <w:r>
        <w:rPr>
          <w:rFonts w:hint="eastAsia" w:ascii="宋体" w:hAnsi="宋体" w:eastAsia="宋体" w:cs="宋体"/>
          <w:sz w:val="24"/>
          <w:szCs w:val="24"/>
          <w:highlight w:val="none"/>
          <w:lang w:val="en-US"/>
        </w:rPr>
        <w:t xml:space="preserve">记录。</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3、通过</w:t>
      </w:r>
      <w:r>
        <w:rPr>
          <w:rFonts w:hint="eastAsia" w:ascii="宋体" w:hAnsi="宋体" w:eastAsia="宋体" w:cs="宋体"/>
          <w:sz w:val="24"/>
          <w:szCs w:val="24"/>
          <w:highlight w:val="none"/>
          <w:lang w:val="en-US" w:eastAsia="zh-CN"/>
        </w:rPr>
        <w:t xml:space="preserve">评估数据</w:t>
      </w:r>
      <w:r>
        <w:rPr>
          <w:rFonts w:hint="eastAsia" w:ascii="宋体" w:hAnsi="宋体" w:eastAsia="宋体" w:cs="宋体"/>
          <w:sz w:val="24"/>
          <w:szCs w:val="24"/>
          <w:highlight w:val="none"/>
          <w:lang w:val="en-US"/>
        </w:rPr>
        <w:t xml:space="preserve">出具真实、规范的</w:t>
      </w:r>
      <w:r>
        <w:rPr>
          <w:rFonts w:hint="eastAsia" w:ascii="宋体" w:hAnsi="宋体" w:eastAsia="宋体" w:cs="宋体"/>
          <w:sz w:val="24"/>
          <w:szCs w:val="24"/>
          <w:highlight w:val="none"/>
          <w:lang w:val="en-US" w:eastAsia="zh-CN"/>
        </w:rPr>
        <w:t xml:space="preserve">评估</w:t>
      </w:r>
      <w:r>
        <w:rPr>
          <w:rFonts w:hint="eastAsia" w:ascii="宋体" w:hAnsi="宋体" w:eastAsia="宋体" w:cs="宋体"/>
          <w:sz w:val="24"/>
          <w:szCs w:val="24"/>
          <w:highlight w:val="none"/>
          <w:lang w:val="en-US"/>
        </w:rPr>
        <w:t xml:space="preserve">报告，并由经办人、项目负责人和技术负责人签名，并加盖</w:t>
      </w:r>
      <w:r>
        <w:rPr>
          <w:rFonts w:hint="eastAsia" w:ascii="宋体" w:hAnsi="宋体" w:eastAsia="宋体" w:cs="宋体"/>
          <w:sz w:val="24"/>
          <w:szCs w:val="24"/>
          <w:highlight w:val="none"/>
          <w:lang w:val="en-US" w:eastAsia="zh-CN"/>
        </w:rPr>
        <w:t xml:space="preserve">评估</w:t>
      </w:r>
      <w:r>
        <w:rPr>
          <w:rFonts w:hint="eastAsia" w:ascii="宋体" w:hAnsi="宋体" w:eastAsia="宋体" w:cs="宋体"/>
          <w:sz w:val="24"/>
          <w:szCs w:val="24"/>
          <w:highlight w:val="none"/>
          <w:lang w:val="en-US"/>
        </w:rPr>
        <w:t xml:space="preserve">机构印章。</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4、及时向甲方出具</w:t>
      </w:r>
      <w:r>
        <w:rPr>
          <w:rFonts w:hint="eastAsia" w:ascii="宋体" w:hAnsi="宋体" w:eastAsia="宋体" w:cs="宋体"/>
          <w:sz w:val="24"/>
          <w:szCs w:val="24"/>
          <w:highlight w:val="none"/>
          <w:lang w:val="en-US" w:eastAsia="zh-CN"/>
        </w:rPr>
        <w:t xml:space="preserve">评估</w:t>
      </w:r>
      <w:r>
        <w:rPr>
          <w:rFonts w:hint="eastAsia" w:ascii="宋体" w:hAnsi="宋体" w:eastAsia="宋体" w:cs="宋体"/>
          <w:sz w:val="24"/>
          <w:szCs w:val="24"/>
          <w:highlight w:val="none"/>
          <w:lang w:val="en-US"/>
        </w:rPr>
        <w:t xml:space="preserve">报告或问题反馈意见书。</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rPr>
        <w:t xml:space="preserve">5、不得转包、分包</w:t>
      </w:r>
      <w:r>
        <w:rPr>
          <w:rFonts w:hint="eastAsia" w:ascii="宋体" w:hAnsi="宋体" w:eastAsia="宋体" w:cs="宋体"/>
          <w:color w:val="000000"/>
          <w:sz w:val="24"/>
          <w:szCs w:val="24"/>
          <w:highlight w:val="none"/>
        </w:rPr>
        <w:t xml:space="preserve">技术服务项目。</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五</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合同金额及付款方式</w:t>
      </w:r>
      <w:r/>
    </w:p>
    <w:p>
      <w:pPr>
        <w:numPr>
          <w:ilvl w:val="0"/>
          <w:numId w:val="0"/>
        </w:numPr>
        <w:ind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1、合同金额</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本合同金额按此次中标</w:t>
      </w:r>
      <w:r>
        <w:rPr>
          <w:rFonts w:hint="eastAsia" w:ascii="宋体" w:hAnsi="宋体" w:eastAsia="宋体" w:cs="宋体"/>
          <w:color w:val="auto"/>
          <w:sz w:val="24"/>
          <w:highlight w:val="none"/>
          <w:lang w:val="en-US" w:eastAsia="zh-CN"/>
        </w:rPr>
        <w:t xml:space="preserve">价</w:t>
      </w:r>
      <w:r>
        <w:rPr>
          <w:rFonts w:hint="eastAsia" w:ascii="宋体" w:hAnsi="宋体" w:eastAsia="宋体" w:cs="宋体"/>
          <w:color w:val="auto"/>
          <w:sz w:val="24"/>
          <w:highlight w:val="none"/>
        </w:rPr>
        <w:t xml:space="preserve">执行，</w:t>
      </w:r>
      <w:r>
        <w:rPr>
          <w:rFonts w:hint="eastAsia" w:ascii="宋体" w:hAnsi="宋体" w:eastAsia="宋体" w:cs="宋体"/>
          <w:color w:val="auto"/>
          <w:sz w:val="24"/>
          <w:highlight w:val="none"/>
          <w:lang w:val="en-US" w:eastAsia="zh-CN"/>
        </w:rPr>
        <w:t xml:space="preserve">合同</w:t>
      </w:r>
      <w:r>
        <w:rPr>
          <w:rFonts w:hint="eastAsia" w:ascii="宋体" w:hAnsi="宋体" w:eastAsia="宋体" w:cs="宋体"/>
          <w:color w:val="auto"/>
          <w:sz w:val="24"/>
          <w:highlight w:val="none"/>
          <w:u w:val="none"/>
          <w:lang w:val="en-US" w:eastAsia="zh-CN"/>
        </w:rPr>
        <w:t xml:space="preserve">单价</w:t>
      </w:r>
      <w:r>
        <w:rPr>
          <w:rFonts w:hint="eastAsia" w:ascii="宋体" w:hAnsi="宋体" w:eastAsia="宋体" w:cs="宋体"/>
          <w:color w:val="auto"/>
          <w:sz w:val="24"/>
          <w:highlight w:val="none"/>
          <w:u w:val="none"/>
        </w:rPr>
        <w:t xml:space="preserve">为</w:t>
      </w:r>
      <w:r>
        <w:rPr>
          <w:rFonts w:hint="eastAsia" w:ascii="宋体" w:hAnsi="宋体" w:eastAsia="宋体" w:cs="宋体"/>
          <w:color w:val="auto"/>
          <w:sz w:val="24"/>
          <w:highlight w:val="none"/>
          <w:u w:val="single"/>
          <w:lang w:val="en-US" w:eastAsia="zh-CN"/>
        </w:rPr>
        <w:t xml:space="preserve">        元/平方米</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评估</w:t>
      </w:r>
      <w:r>
        <w:rPr>
          <w:rFonts w:hint="eastAsia" w:ascii="宋体" w:hAnsi="宋体" w:eastAsia="宋体" w:cs="宋体"/>
          <w:color w:val="auto"/>
          <w:sz w:val="24"/>
          <w:highlight w:val="none"/>
        </w:rPr>
        <w:t xml:space="preserve">工作完成</w:t>
      </w:r>
      <w:r>
        <w:rPr>
          <w:rFonts w:hint="eastAsia" w:ascii="宋体" w:hAnsi="宋体" w:eastAsia="宋体" w:cs="宋体"/>
          <w:color w:val="auto"/>
          <w:sz w:val="24"/>
          <w:highlight w:val="none"/>
          <w:lang w:val="en-US" w:eastAsia="zh-CN"/>
        </w:rPr>
        <w:t xml:space="preserve">后</w:t>
      </w:r>
      <w:r>
        <w:rPr>
          <w:rFonts w:hint="eastAsia" w:ascii="宋体" w:hAnsi="宋体" w:eastAsia="宋体" w:cs="宋体"/>
          <w:color w:val="auto"/>
          <w:sz w:val="24"/>
          <w:highlight w:val="none"/>
        </w:rPr>
        <w:t xml:space="preserve">，乙方提交</w:t>
      </w:r>
      <w:r>
        <w:rPr>
          <w:rFonts w:hint="eastAsia" w:ascii="宋体" w:hAnsi="宋体" w:eastAsia="宋体" w:cs="宋体"/>
          <w:color w:val="auto"/>
          <w:sz w:val="24"/>
          <w:highlight w:val="none"/>
          <w:lang w:val="en-US" w:eastAsia="zh-CN"/>
        </w:rPr>
        <w:t xml:space="preserve">评估</w:t>
      </w:r>
      <w:r>
        <w:rPr>
          <w:rFonts w:hint="eastAsia" w:ascii="宋体" w:hAnsi="宋体" w:eastAsia="宋体" w:cs="宋体"/>
          <w:color w:val="auto"/>
          <w:sz w:val="24"/>
          <w:highlight w:val="none"/>
        </w:rPr>
        <w:t xml:space="preserve">报告</w:t>
      </w:r>
      <w:r>
        <w:rPr>
          <w:rFonts w:hint="eastAsia" w:ascii="宋体" w:hAnsi="宋体" w:eastAsia="宋体" w:cs="宋体"/>
          <w:color w:val="auto"/>
          <w:sz w:val="24"/>
          <w:highlight w:val="none"/>
          <w:lang w:eastAsia="zh-CN"/>
        </w:rPr>
        <w:t xml:space="preserve">（报告格式及内容应满足当地主管部门要求）</w:t>
      </w:r>
      <w:r>
        <w:rPr>
          <w:rFonts w:hint="eastAsia" w:ascii="宋体" w:hAnsi="宋体" w:eastAsia="宋体" w:cs="宋体"/>
          <w:color w:val="auto"/>
          <w:sz w:val="24"/>
          <w:highlight w:val="none"/>
        </w:rPr>
        <w:t xml:space="preserve">并经甲方确认后，甲方在一个月内结清所有</w:t>
      </w:r>
      <w:r>
        <w:rPr>
          <w:rFonts w:hint="eastAsia" w:ascii="宋体" w:hAnsi="宋体" w:eastAsia="宋体" w:cs="宋体"/>
          <w:color w:val="auto"/>
          <w:sz w:val="24"/>
          <w:highlight w:val="none"/>
          <w:lang w:val="en-US" w:eastAsia="zh-CN"/>
        </w:rPr>
        <w:t xml:space="preserve">费用，结算金额以实际评估面积为准，但不得超过采购预算和最高限价</w:t>
      </w:r>
      <w:r>
        <w:rPr>
          <w:rFonts w:hint="eastAsia" w:ascii="宋体" w:hAnsi="宋体" w:eastAsia="宋体" w:cs="宋体"/>
          <w:color w:val="auto"/>
          <w:sz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付款依据：合格的付款申请单（按甲方要求）与（增值税）发票。</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2、付款方式：</w:t>
      </w:r>
      <w:r>
        <w:rPr>
          <w:rFonts w:hint="eastAsia" w:ascii="宋体" w:hAnsi="宋体" w:eastAsia="宋体" w:cs="宋体"/>
          <w:color w:val="auto"/>
          <w:sz w:val="24"/>
          <w:highlight w:val="none"/>
          <w:lang w:val="en-US" w:eastAsia="zh-CN"/>
        </w:rPr>
        <w:t xml:space="preserve">银行转账或数字人民币转账。</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（1）乙方数字人民币账户信息如下：</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账户名：</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开户行：</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数字人民币账号（数币钱包ID）：</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（2）乙方银行转账账户信息如下：</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开户名称：</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开户银行：</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银行账号：</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（3）根据现行税法对甲方征收的与本合同有关的一切税费均由甲方承担；根据现行税法对乙方征收的与本合同有关的一切税费均由乙方承担。</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3、履约保证金</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缴纳形式：银行保函或甲方认可的其他形式</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缴纳金额：合同金额的5%。合同签订前，乙方需将履约保证金缴纳给甲方。合同履约完成后，乙方提交评估报告并经甲方确认后，10个工作日内无息退还。</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、违约责任</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对乙方不按规定履行义务，在检测中弄虚作假或严重不负责任的，或转包、分包本合同约定检测项目的，甲方有权立即解除本合同，并要求乙方按照合同金额的20%支付违约金，如违约金不足以弥补甲方损失，乙方仍需向甲方进行赔偿。</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2、乙方未能依照技术标准和执业准则，导致检测质量问题的，乙方应负责无偿予以重测或采取补救措施，以实现本合同目的，否则乙方应对因此造成甲方的损失承担相应赔偿责任，并按照合同金额的20%向甲方支付违约金。</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甲方延迟付款的，每延迟一日应按合同总额的千分之一/日支付违约金，逾期超过十日及以上的，乙方有权要求甲方支付合同总额的20%作为违约金。</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七</w:t>
      </w:r>
      <w:r>
        <w:rPr>
          <w:rFonts w:hint="eastAsia" w:ascii="宋体" w:hAnsi="宋体" w:eastAsia="宋体" w:cs="宋体"/>
          <w:b/>
          <w:bCs/>
          <w:color w:val="000000"/>
          <w:sz w:val="24"/>
          <w:szCs w:val="24"/>
          <w:highlight w:val="none"/>
        </w:rPr>
        <w:t xml:space="preserve">、解决合同纠纷的方式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本合同履行过程中发生争议，双方应协商解决，协商不成时，采用下列方式中的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解决。</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苏州市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仲裁机关仲裁；</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甲</w:t>
      </w:r>
      <w:r>
        <w:rPr>
          <w:rFonts w:hint="eastAsia" w:ascii="宋体" w:hAnsi="宋体" w:eastAsia="宋体" w:cs="宋体"/>
          <w:color w:val="auto"/>
          <w:sz w:val="24"/>
          <w:szCs w:val="24"/>
          <w:highlight w:val="none"/>
          <w:u w:val="single"/>
        </w:rPr>
        <w:t xml:space="preserve">方所在地人民</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法院起诉</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任何一方未按照本合同约定履行相应义务的，应承担对方因相关诉讼活动而产生的诉讼费、律师代理费、鉴定（检验）费、差旅费和其他一</w:t>
      </w:r>
      <w:r>
        <w:rPr>
          <w:rFonts w:hint="eastAsia" w:ascii="宋体" w:hAnsi="宋体" w:eastAsia="宋体" w:cs="宋体"/>
          <w:color w:val="000000"/>
          <w:sz w:val="24"/>
          <w:szCs w:val="24"/>
          <w:highlight w:val="none"/>
          <w:lang w:val="en-US" w:eastAsia="zh-CN"/>
        </w:rPr>
        <w:t xml:space="preserve">切</w:t>
      </w:r>
      <w:r>
        <w:rPr>
          <w:rFonts w:hint="eastAsia" w:ascii="宋体" w:hAnsi="宋体" w:eastAsia="宋体" w:cs="宋体"/>
          <w:color w:val="000000"/>
          <w:sz w:val="24"/>
          <w:szCs w:val="24"/>
          <w:highlight w:val="none"/>
        </w:rPr>
        <w:t xml:space="preserve">费用。</w:t>
      </w:r>
      <w:r/>
    </w:p>
    <w:p>
      <w:pPr>
        <w:pStyle w:val="968"/>
        <w:ind w:firstLine="482"/>
        <w:spacing w:line="360" w:lineRule="auto"/>
        <w:rPr>
          <w:rFonts w:hint="eastAsia" w:hAnsi="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八、</w:t>
      </w:r>
      <w:r>
        <w:rPr>
          <w:rFonts w:hint="eastAsia" w:hAnsi="宋体" w:cs="宋体"/>
          <w:b/>
          <w:bCs/>
          <w:color w:val="000000"/>
          <w:sz w:val="24"/>
          <w:szCs w:val="24"/>
          <w:highlight w:val="none"/>
          <w:lang w:val="en-US" w:eastAsia="zh-CN"/>
        </w:rPr>
        <w:t xml:space="preserve">不可抗力</w:t>
      </w:r>
      <w:r/>
    </w:p>
    <w:p>
      <w:pPr>
        <w:pStyle w:val="968"/>
        <w:ind w:firstLine="480"/>
        <w:spacing w:line="360" w:lineRule="auto"/>
        <w:rPr>
          <w:rFonts w:hint="eastAsia" w:hAnsi="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1、因不可抗力不能履行合同的，根据不可抗力的影响，部分或者全部免除责任。但合同一方迟延履行后发生不可抗力的，不能免除责任。</w:t>
      </w:r>
      <w:r/>
    </w:p>
    <w:p>
      <w:pPr>
        <w:pStyle w:val="968"/>
        <w:ind w:firstLine="480"/>
        <w:spacing w:line="360" w:lineRule="auto"/>
        <w:rPr>
          <w:rFonts w:hint="eastAsia" w:hAnsi="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2、合同一方因不可抗力不能履行合同的，应当及时通知对方，以减轻可能给对方造成的损失，并应当在合理期限内提供证明。</w:t>
      </w:r>
      <w:r/>
    </w:p>
    <w:p>
      <w:pPr>
        <w:pStyle w:val="968"/>
        <w:ind w:firstLine="482"/>
        <w:spacing w:line="360" w:lineRule="auto"/>
        <w:rPr>
          <w:rFonts w:hint="eastAsia" w:hAnsi="宋体" w:cs="宋体"/>
          <w:b/>
          <w:bCs/>
          <w:color w:val="000000"/>
          <w:sz w:val="24"/>
          <w:szCs w:val="24"/>
          <w:highlight w:val="none"/>
          <w:lang w:val="en-US" w:eastAsia="zh-CN"/>
        </w:rPr>
      </w:pPr>
      <w:r>
        <w:rPr>
          <w:rFonts w:hint="eastAsia" w:hAnsi="宋体" w:cs="宋体"/>
          <w:b/>
          <w:bCs/>
          <w:color w:val="000000"/>
          <w:sz w:val="24"/>
          <w:szCs w:val="24"/>
          <w:highlight w:val="none"/>
          <w:lang w:val="en-US" w:eastAsia="zh-CN"/>
        </w:rPr>
        <w:t xml:space="preserve">九、合同的解除和转让</w:t>
      </w:r>
      <w:r/>
    </w:p>
    <w:p>
      <w:pPr>
        <w:pStyle w:val="968"/>
        <w:ind w:firstLine="480"/>
        <w:spacing w:line="360" w:lineRule="auto"/>
        <w:rPr>
          <w:rFonts w:hint="eastAsia" w:hAnsi="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1、合同的解除</w:t>
      </w:r>
      <w:r/>
    </w:p>
    <w:p>
      <w:pPr>
        <w:pStyle w:val="968"/>
        <w:ind w:firstLine="480"/>
        <w:spacing w:line="360" w:lineRule="auto"/>
        <w:rPr>
          <w:rFonts w:hint="eastAsia" w:hAnsi="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1.1有下列情形之一，合同一方可以解除合同：</w:t>
      </w:r>
      <w:r/>
    </w:p>
    <w:p>
      <w:pPr>
        <w:pStyle w:val="968"/>
        <w:ind w:firstLine="480"/>
        <w:spacing w:line="360" w:lineRule="auto"/>
        <w:rPr>
          <w:rFonts w:hint="eastAsia" w:hAnsi="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（1）因不可抗力致使不能实现合同目的，未受不可抗力影响的一方有权解除合同；</w:t>
      </w:r>
      <w:r/>
    </w:p>
    <w:p>
      <w:pPr>
        <w:pStyle w:val="968"/>
        <w:ind w:firstLine="480"/>
        <w:spacing w:line="360" w:lineRule="auto"/>
        <w:rPr>
          <w:rFonts w:hint="eastAsia" w:hAnsi="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（2）因合同一方违约导致合同不能履行，另一方有权解除合同；</w:t>
      </w:r>
      <w:r/>
    </w:p>
    <w:p>
      <w:pPr>
        <w:pStyle w:val="968"/>
        <w:ind w:firstLine="480"/>
        <w:spacing w:line="360" w:lineRule="auto"/>
        <w:rPr>
          <w:rFonts w:hint="eastAsia" w:hAnsi="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1.2有权解除合同的一方，应当在违约事实或不可抗力发生之后三十天内书面通知对方以主张解除合同，合同在书面通知到达对方时解除。</w:t>
      </w:r>
      <w:r/>
    </w:p>
    <w:p>
      <w:pPr>
        <w:pStyle w:val="968"/>
        <w:ind w:firstLine="480"/>
        <w:spacing w:line="360" w:lineRule="auto"/>
        <w:rPr>
          <w:rFonts w:hint="eastAsia" w:hAnsi="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2、合同的转让</w:t>
      </w:r>
      <w:r/>
    </w:p>
    <w:p>
      <w:pPr>
        <w:pStyle w:val="968"/>
        <w:ind w:firstLine="480"/>
        <w:spacing w:line="360" w:lineRule="auto"/>
        <w:rPr>
          <w:rFonts w:hint="default"/>
          <w:highlight w:val="none"/>
          <w:lang w:val="en-US"/>
        </w:rPr>
      </w:pPr>
      <w:r>
        <w:rPr>
          <w:rFonts w:hint="eastAsia" w:hAnsi="宋体" w:cs="宋体"/>
          <w:color w:val="000000"/>
          <w:sz w:val="24"/>
          <w:szCs w:val="24"/>
          <w:highlight w:val="none"/>
          <w:lang w:val="en-US" w:eastAsia="zh-CN"/>
        </w:rPr>
        <w:t xml:space="preserve">合同的部分和全部都不得转让。</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合同份数</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lang w:val="en-US" w:eastAsia="zh-CN"/>
        </w:rPr>
        <w:t xml:space="preserve">【伍】</w:t>
      </w:r>
      <w:r>
        <w:rPr>
          <w:rFonts w:hint="eastAsia" w:ascii="宋体" w:hAnsi="宋体" w:eastAsia="宋体" w:cs="宋体"/>
          <w:color w:val="000000"/>
          <w:sz w:val="24"/>
          <w:szCs w:val="24"/>
          <w:highlight w:val="none"/>
        </w:rPr>
        <w:t xml:space="preserve">份，甲、乙双方各执</w:t>
      </w:r>
      <w:r>
        <w:rPr>
          <w:rFonts w:hint="eastAsia" w:ascii="宋体" w:hAnsi="宋体" w:eastAsia="宋体" w:cs="宋体"/>
          <w:color w:val="000000"/>
          <w:sz w:val="24"/>
          <w:szCs w:val="24"/>
          <w:highlight w:val="none"/>
          <w:lang w:val="en-US" w:eastAsia="zh-CN"/>
        </w:rPr>
        <w:t xml:space="preserve">【贰】</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政府采购监督部门执</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壹</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val="en-US" w:eastAsia="zh-CN"/>
        </w:rPr>
        <w:t xml:space="preserve">合同的复印件、扫描件、电子版本视同原件，与原件具有同等之法律效力。</w:t>
      </w:r>
      <w:r/>
    </w:p>
    <w:tbl>
      <w:tblPr>
        <w:tblStyle w:val="99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74"/>
        <w:gridCol w:w="4512"/>
      </w:tblGrid>
      <w:tr>
        <w:trPr>
          <w:trHeight w:val="3715"/>
        </w:trPr>
        <w:tc>
          <w:tcPr>
            <w:tcW w:w="2570" w:type="pct"/>
            <w:vAlign w:val="top"/>
            <w:textDirection w:val="lrTb"/>
            <w:noWrap w:val="false"/>
          </w:tcPr>
          <w:p>
            <w:pPr>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 方（盖章）：</w:t>
            </w:r>
            <w:r/>
          </w:p>
          <w:p>
            <w:pPr>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p>
          <w:p>
            <w:pPr>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p>
          <w:p>
            <w:pPr>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w:t>
            </w:r>
            <w:r/>
          </w:p>
          <w:p>
            <w:pPr>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w:t>
            </w:r>
            <w:r/>
          </w:p>
          <w:p>
            <w:pPr>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 编：</w:t>
            </w:r>
            <w:r/>
          </w:p>
          <w:p>
            <w:pPr>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p>
          <w:p>
            <w:pPr>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 号：</w:t>
            </w:r>
            <w:r/>
          </w:p>
        </w:tc>
        <w:tc>
          <w:tcPr>
            <w:tcW w:w="2429" w:type="pct"/>
            <w:vAlign w:val="top"/>
            <w:textDirection w:val="lrTb"/>
            <w:noWrap w:val="false"/>
          </w:tcPr>
          <w:p>
            <w:pPr>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乙 方（盖章）：</w:t>
            </w:r>
            <w:r/>
          </w:p>
          <w:p>
            <w:pPr>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p>
          <w:p>
            <w:pPr>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法定代表人：委托代理人：</w:t>
            </w:r>
            <w:r/>
          </w:p>
          <w:p>
            <w:p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 话：</w:t>
            </w:r>
            <w:r/>
          </w:p>
          <w:p>
            <w:p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邮 编：</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开户银行：</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eastAsia="zh-CN"/>
              </w:rPr>
              <w:t xml:space="preserve">账</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号：</w:t>
            </w:r>
            <w:r/>
          </w:p>
          <w:p>
            <w:pPr>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bl>
    <w:p>
      <w:pPr>
        <w:pStyle w:val="970"/>
        <w:ind w:left="0" w:firstLine="0"/>
        <w:rPr>
          <w:rFonts w:ascii="宋体" w:hAnsi="宋体" w:eastAsia="宋体" w:cs="宋体"/>
          <w:color w:val="auto"/>
          <w:highlight w:val="none"/>
        </w:rPr>
      </w:pPr>
      <w:r>
        <w:rPr>
          <w:rFonts w:hint="eastAsia" w:ascii="宋体" w:hAnsi="宋体" w:eastAsia="宋体" w:cs="宋体"/>
          <w:color w:val="000000"/>
          <w:sz w:val="24"/>
          <w:szCs w:val="24"/>
          <w:highlight w:val="none"/>
          <w:lang w:val="en-US" w:eastAsia="zh-CN"/>
        </w:rPr>
        <w:t xml:space="preserve">日期：       </w:t>
      </w:r>
      <w:r>
        <w:rPr>
          <w:rFonts w:hint="eastAsia" w:ascii="宋体" w:hAnsi="宋体" w:eastAsia="宋体" w:cs="宋体"/>
          <w:color w:val="000000"/>
          <w:sz w:val="24"/>
          <w:szCs w:val="24"/>
          <w:highlight w:val="none"/>
        </w:rPr>
        <w:t xml:space="preserve">年    月    日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auto"/>
          <w:highlight w:val="none"/>
        </w:rPr>
        <w:br w:type="page" w:clear="all"/>
      </w:r>
      <w:r/>
    </w:p>
    <w:p>
      <w:pPr>
        <w:pStyle w:val="956"/>
        <w:jc w:val="center"/>
        <w:spacing w:before="0" w:after="0" w:line="579" w:lineRule="auto"/>
        <w:rPr>
          <w:rFonts w:ascii="宋体" w:hAnsi="宋体" w:eastAsia="宋体" w:cs="宋体"/>
          <w:color w:val="auto"/>
          <w:highlight w:val="none"/>
        </w:rPr>
      </w:pPr>
      <w:r>
        <w:rPr>
          <w:rFonts w:hint="eastAsia" w:ascii="宋体" w:hAnsi="宋体" w:eastAsia="宋体" w:cs="宋体"/>
          <w:color w:val="auto"/>
          <w:highlight w:val="none"/>
        </w:rPr>
        <w:t xml:space="preserve">第六章 评标办法及标准</w:t>
      </w:r>
      <w:bookmarkEnd w:id="39"/>
      <w:r/>
      <w:bookmarkEnd w:id="40"/>
      <w:r/>
      <w:bookmarkEnd w:id="41"/>
      <w:r/>
      <w:r/>
    </w:p>
    <w:p>
      <w:pPr>
        <w:rPr>
          <w:rFonts w:ascii="宋体" w:hAnsi="宋体" w:eastAsia="宋体" w:cs="宋体"/>
          <w:color w:val="auto"/>
          <w:highlight w:val="none"/>
        </w:rPr>
      </w:pPr>
      <w:r>
        <w:rPr>
          <w:rFonts w:ascii="宋体" w:hAnsi="宋体" w:eastAsia="宋体" w:cs="宋体"/>
          <w:color w:val="auto"/>
          <w:highlight w:val="none"/>
        </w:rPr>
      </w:r>
      <w:r/>
    </w:p>
    <w:p>
      <w:pPr>
        <w:spacing w:line="24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一、评标办法：</w:t>
      </w:r>
      <w:r/>
    </w:p>
    <w:p>
      <w:pPr>
        <w:pStyle w:val="1045"/>
        <w:ind w:firstLine="480"/>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1、本次招标评标采用为</w:t>
      </w:r>
      <w:r>
        <w:rPr>
          <w:rFonts w:hint="eastAsia" w:hAnsi="宋体" w:eastAsia="宋体" w:cs="宋体"/>
          <w:b/>
          <w:bCs/>
          <w:color w:val="auto"/>
          <w:sz w:val="24"/>
          <w:szCs w:val="24"/>
          <w:highlight w:val="none"/>
          <w:u w:val="single"/>
        </w:rPr>
        <w:t xml:space="preserve">综合评分法</w:t>
      </w:r>
      <w:r>
        <w:rPr>
          <w:rFonts w:hint="eastAsia" w:hAnsi="宋体" w:eastAsia="宋体" w:cs="宋体"/>
          <w:color w:val="auto"/>
          <w:sz w:val="24"/>
          <w:szCs w:val="24"/>
          <w:highlight w:val="none"/>
        </w:rPr>
        <w:t xml:space="preserve">，即在满足招标文件实质性要求前提下，评标委员会按照招标文件中规定的评分标准和各项因素进行综合评审后，按评标总得分高低顺序推荐中标候选供应商。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评标时，评标委员会成员按照招标文件规定的评分标准，独立对每个供应商的投标文件进行评价、打分。将评委对投标文件的除价格部分外的其他因素评分，并按算术平均法汇总，计算出每个供应商的除价格部分外的其他因素评审得分（保留小数点后两位）。价格标得分按法规规定的计算公式直接计算取得。除价格部分外的其他因素评审得分和价格标得分相加即为供应商的评标总得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szCs w:val="24"/>
          <w:highlight w:val="none"/>
        </w:rPr>
        <w:t xml:space="preserve">中标候选人并列</w:t>
      </w:r>
      <w:r>
        <w:rPr>
          <w:rFonts w:hint="eastAsia" w:ascii="宋体" w:hAnsi="宋体" w:eastAsia="宋体" w:cs="宋体"/>
          <w:color w:val="auto"/>
          <w:sz w:val="24"/>
          <w:szCs w:val="24"/>
          <w:highlight w:val="none"/>
        </w:rPr>
        <w:t xml:space="preserve">的，以投标报价较低者优先作为中标候选人，如果投标报价也相同的，则由招标单位组织以抽签方式确定中标候选人。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4、针对中小型企业、残疾人福利企业和监狱企业的评审：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color w:val="auto"/>
          <w:sz w:val="24"/>
          <w:szCs w:val="24"/>
          <w:highlight w:val="none"/>
        </w:rPr>
        <w:t xml:space="preserve">本项目为专门面向中小企业采购的项目，不再执行价格评审优惠的扶持政策。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供应商必须提供《中小企业声明函》或《残疾人福利性单位声明函》或由省级以上监狱管理局、戒毒管理局（含新疆生产建设兵团）出具的属于监狱企业的证明文件。</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(一）价格分（</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第一步：投标报价低于或等于</w:t>
      </w:r>
      <w:r>
        <w:rPr>
          <w:rFonts w:hint="eastAsia" w:ascii="宋体" w:hAnsi="宋体" w:eastAsia="宋体" w:cs="宋体"/>
          <w:color w:val="auto"/>
          <w:sz w:val="24"/>
          <w:szCs w:val="24"/>
          <w:highlight w:val="none"/>
          <w:lang w:val="en-US" w:eastAsia="zh-CN"/>
        </w:rPr>
        <w:t xml:space="preserve">采购预算和最高限价</w:t>
      </w:r>
      <w:r>
        <w:rPr>
          <w:rFonts w:hint="eastAsia" w:ascii="宋体" w:hAnsi="宋体" w:eastAsia="宋体" w:cs="宋体"/>
          <w:color w:val="auto"/>
          <w:sz w:val="24"/>
          <w:szCs w:val="24"/>
          <w:highlight w:val="none"/>
        </w:rPr>
        <w:t xml:space="preserve">的，为有效投标报价。超</w:t>
      </w:r>
      <w:r>
        <w:rPr>
          <w:rFonts w:hint="eastAsia" w:ascii="宋体" w:hAnsi="宋体" w:eastAsia="宋体" w:cs="宋体"/>
          <w:color w:val="auto"/>
          <w:sz w:val="24"/>
          <w:szCs w:val="24"/>
          <w:highlight w:val="none"/>
          <w:lang w:val="en-US" w:eastAsia="zh-CN"/>
        </w:rPr>
        <w:t xml:space="preserve">采购预算和最高限价</w:t>
      </w:r>
      <w:r>
        <w:rPr>
          <w:rFonts w:hint="eastAsia" w:ascii="宋体" w:hAnsi="宋体" w:eastAsia="宋体" w:cs="宋体"/>
          <w:color w:val="auto"/>
          <w:sz w:val="24"/>
          <w:szCs w:val="24"/>
          <w:highlight w:val="none"/>
        </w:rPr>
        <w:t xml:space="preserve">的投标报价为无效投标报价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无效投标报价不进入后续评审也不得标</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第二步：在所有有效投标报价中满足招标文件要求，且投标</w:t>
      </w:r>
      <w:r>
        <w:rPr>
          <w:rFonts w:hint="eastAsia" w:ascii="宋体" w:hAnsi="宋体" w:eastAsia="宋体" w:cs="宋体"/>
          <w:color w:val="auto"/>
          <w:sz w:val="24"/>
          <w:szCs w:val="24"/>
          <w:highlight w:val="none"/>
          <w:lang w:val="en-US" w:eastAsia="zh-CN"/>
        </w:rPr>
        <w:t xml:space="preserve">单价</w:t>
      </w:r>
      <w:r>
        <w:rPr>
          <w:rFonts w:hint="eastAsia" w:ascii="宋体" w:hAnsi="宋体" w:eastAsia="宋体" w:cs="宋体"/>
          <w:color w:val="auto"/>
          <w:sz w:val="24"/>
          <w:szCs w:val="24"/>
          <w:highlight w:val="none"/>
        </w:rPr>
        <w:t xml:space="preserve">最低的投标报价为评标基准价，其他投标人的价格分按照下列公式计算（计算结果四舍五入保留两位小数）。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w:t>
      </w:r>
      <w:r>
        <w:rPr>
          <w:rFonts w:hint="eastAsia" w:ascii="宋体" w:hAnsi="宋体" w:eastAsia="宋体" w:cs="宋体"/>
          <w:color w:val="auto"/>
          <w:sz w:val="24"/>
          <w:szCs w:val="24"/>
          <w:highlight w:val="none"/>
          <w:lang w:val="en-US" w:eastAsia="zh-CN"/>
        </w:rPr>
        <w:t xml:space="preserve">单价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％×100</w:t>
      </w:r>
      <w:r/>
    </w:p>
    <w:p>
      <w:pPr>
        <w:ind w:left="0" w:right="0" w:firstLine="482"/>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en-US" w:eastAsia="zh-CN"/>
        </w:rPr>
        <w:t xml:space="preserve">评审过程中出现下列情形之一的，评审委员会应当启动异常低价投标（响应）审查程序：</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（1）投标（响应）报价低于采购项目预算50%的，即投标（响应）报价&lt;采购项目预算×50%；</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（2）投标（响应）报价低于采购项目最高限价45%的，即投标（响应）报价&lt;采购项目最高限价×45%；</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（3）评审委员会认定的供应商报价过低、有可能影响产品质量或者不能诚信履约的其他情形。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启动异常低价投标（响应）审查后，评审委员会应当要求相关供应商在评标现场合理的时间内，提供</w:t>
      </w:r>
      <w:r>
        <w:rPr>
          <w:rFonts w:hint="eastAsia" w:ascii="宋体" w:hAnsi="宋体" w:eastAsia="宋体" w:cs="宋体"/>
          <w:color w:val="auto"/>
          <w:sz w:val="24"/>
          <w:szCs w:val="24"/>
          <w:highlight w:val="none"/>
          <w:lang w:val="en-US" w:eastAsia="zh-CN"/>
        </w:rPr>
        <w:t xml:space="preserve">项目具体成本测算等与报价合理性相关的书面说明及相关证明材料，对投标（响应）价格作出解释，由评审委员会结合同类产品在主要电商平台的价格（受评标现场电脑白名单限制，评审委员会无法查询主要电商平台价格，由被启动异常低价投标（响应）审查的供应商自行查询并随证明材料一并提交）、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hint="eastAsia" w:ascii="宋体" w:hAnsi="宋体" w:eastAsia="宋体"/>
          <w:b/>
          <w:bCs w:val="0"/>
          <w:color w:val="auto"/>
          <w:sz w:val="24"/>
          <w:szCs w:val="24"/>
          <w:highlight w:val="none"/>
        </w:rPr>
      </w:pPr>
      <w:r>
        <w:rPr>
          <w:rFonts w:hint="eastAsia" w:ascii="宋体" w:hAnsi="宋体" w:eastAsia="宋体"/>
          <w:b/>
          <w:bCs w:val="0"/>
          <w:color w:val="auto"/>
          <w:sz w:val="24"/>
          <w:szCs w:val="24"/>
          <w:highlight w:val="none"/>
        </w:rPr>
        <w:t xml:space="preserve">（二）服务方案比较（70分）</w:t>
      </w:r>
      <w:r/>
    </w:p>
    <w:p>
      <w:pPr>
        <w:ind w:firstLine="482"/>
        <w:spacing w:line="360" w:lineRule="auto"/>
        <w:rPr>
          <w:rFonts w:hint="eastAsia" w:ascii="宋体" w:hAnsi="宋体" w:eastAsia="宋体"/>
          <w:b/>
          <w:bCs w:val="0"/>
          <w:color w:val="auto"/>
          <w:sz w:val="24"/>
          <w:szCs w:val="24"/>
          <w:highlight w:val="none"/>
        </w:rPr>
      </w:pPr>
      <w:r>
        <w:rPr>
          <w:rFonts w:hint="eastAsia" w:ascii="宋体" w:hAnsi="宋体" w:eastAsia="宋体"/>
          <w:b/>
          <w:bCs w:val="0"/>
          <w:color w:val="auto"/>
          <w:sz w:val="24"/>
          <w:szCs w:val="24"/>
          <w:highlight w:val="none"/>
        </w:rPr>
        <w:t xml:space="preserve">1、项目需求理解及总体认识情况比较（30分）</w:t>
      </w:r>
      <w:r/>
    </w:p>
    <w:p>
      <w:pPr>
        <w:ind w:firstLine="480"/>
        <w:spacing w:line="360" w:lineRule="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1）针对本项目的现状情况及项目范围分析。理解全面、清晰，项目需求认识准确、深刻的得5分；理解比较全面、清晰，项目需求认识比较准确的得3分；理解不够全面、清晰，项目需求认识不够准确，存在瑕疵的得2分；未提供相应内容的不得分。</w:t>
      </w:r>
      <w:r/>
    </w:p>
    <w:p>
      <w:pPr>
        <w:ind w:firstLine="480"/>
        <w:spacing w:line="360" w:lineRule="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2）针对本项目的评估范围及标准进行描述。描述全面、清晰，项目需求认识准确、深刻的得5分；描述比较全面、清晰，项目需求认识比较准确的得3分；描述不够全面、清晰，项目需求认识不够准确，存在瑕疵的得2分；未提供相应内容的不得分。</w:t>
      </w:r>
      <w:r/>
    </w:p>
    <w:p>
      <w:pPr>
        <w:ind w:firstLine="480"/>
        <w:spacing w:line="360" w:lineRule="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3）针对本项目的时间进度安排比较。安排合理，项目需求认识准确、深刻的得5分；安排比较合理，项目需求认识比较准确的得3分；安排不够合理，项目需求认识不够准确，存在瑕疵的得2分；未提供相应内容的不得分。</w:t>
      </w:r>
      <w:r/>
    </w:p>
    <w:p>
      <w:pPr>
        <w:ind w:firstLine="480"/>
        <w:spacing w:line="360" w:lineRule="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4）根据供应商的技术服务方案（含评估体系、评估的方式、方法、流程等）进行综合评定，方案内容全面详细、科学，切实可行优于采购需求的得5分；方案内容较全面、合理可行满足采购需求的得3分；方案内容有欠缺但承诺经过优化后可实现采购需求的得2分。</w:t>
      </w:r>
      <w:r/>
    </w:p>
    <w:p>
      <w:pPr>
        <w:ind w:firstLine="480"/>
        <w:spacing w:line="360" w:lineRule="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（5）根据供应商针对服务方案提出的质量保证措施进行综合评定，内容全面、详细、措施合理可靠、可行性高的得5分；内容较全面、措施合理可行的得3分；内容有欠缺、可行性差的得2分。</w:t>
      </w:r>
      <w:r/>
    </w:p>
    <w:p>
      <w:pPr>
        <w:ind w:firstLine="480"/>
        <w:spacing w:line="360" w:lineRule="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6）针对本项目的合理化建议比较。理解全面、清晰，项目需求认识准确、深刻的得5分；理解比较全面、清晰，项目需求认识比较准确的得3分；理解不够全面、清晰，项目需求认识不够准确，存在瑕疵的得2分；未提供相应内容的不得分。</w:t>
      </w:r>
      <w:r/>
    </w:p>
    <w:p>
      <w:pPr>
        <w:ind w:firstLine="482"/>
        <w:spacing w:line="360" w:lineRule="auto"/>
        <w:rPr>
          <w:rFonts w:hint="eastAsia" w:ascii="宋体" w:hAnsi="宋体" w:eastAsia="宋体"/>
          <w:b/>
          <w:bCs w:val="0"/>
          <w:color w:val="auto"/>
          <w:sz w:val="24"/>
          <w:szCs w:val="24"/>
          <w:highlight w:val="none"/>
        </w:rPr>
      </w:pPr>
      <w:r>
        <w:rPr>
          <w:rFonts w:hint="eastAsia" w:ascii="宋体" w:hAnsi="宋体" w:eastAsia="宋体"/>
          <w:b/>
          <w:bCs w:val="0"/>
          <w:color w:val="auto"/>
          <w:sz w:val="24"/>
          <w:szCs w:val="24"/>
          <w:highlight w:val="none"/>
        </w:rPr>
        <w:t xml:space="preserve">2、项目组织实施措施比较（15分）</w:t>
      </w:r>
      <w:r/>
    </w:p>
    <w:p>
      <w:pPr>
        <w:ind w:firstLine="480"/>
        <w:spacing w:line="360" w:lineRule="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（1）针对本项目的组织实施措施。措施切实可行、合理完善、科学有效的得5分；措施比较合理、实用性较强的得3分；措施基本可行的得2分；措施明显存在不足的得1分；未提供相应内容的不得分。</w:t>
      </w:r>
      <w:r/>
    </w:p>
    <w:p>
      <w:pPr>
        <w:ind w:firstLine="480"/>
        <w:spacing w:line="360" w:lineRule="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（2）针对本项目的保障措施。措施切实可行、合理完善、科学有效的得5分；措施比较合理、实用性较强的得3分；措施基本可行的得2分；措施明显存在不足的得1分；未提供相应内容的不得分。</w:t>
      </w:r>
      <w:r/>
    </w:p>
    <w:p>
      <w:pPr>
        <w:ind w:firstLine="480"/>
        <w:spacing w:line="360" w:lineRule="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（3）针对本项目与采购人的配合措施。措施切实可行、合理完善、科学有效的得5分；措施比较合理、实用性较强的得3分；措施基本可行的得2分；措施明显存在不足的得1分；未提供相应内容的不得分。</w:t>
      </w:r>
      <w:r/>
    </w:p>
    <w:p>
      <w:pPr>
        <w:ind w:firstLine="482"/>
        <w:spacing w:line="360" w:lineRule="auto"/>
        <w:rPr>
          <w:rFonts w:hint="eastAsia" w:ascii="宋体" w:hAnsi="宋体" w:eastAsia="宋体"/>
          <w:b/>
          <w:bCs w:val="0"/>
          <w:color w:val="auto"/>
          <w:sz w:val="24"/>
          <w:szCs w:val="24"/>
          <w:highlight w:val="none"/>
        </w:rPr>
      </w:pPr>
      <w:r>
        <w:rPr>
          <w:rFonts w:hint="eastAsia" w:ascii="宋体" w:hAnsi="宋体" w:eastAsia="宋体"/>
          <w:b/>
          <w:bCs w:val="0"/>
          <w:color w:val="auto"/>
          <w:sz w:val="24"/>
          <w:szCs w:val="24"/>
          <w:highlight w:val="none"/>
        </w:rPr>
        <w:t xml:space="preserve">3、服务团队比较（15分）</w:t>
      </w:r>
      <w:r/>
    </w:p>
    <w:p>
      <w:pPr>
        <w:ind w:firstLine="480"/>
        <w:spacing w:line="360" w:lineRule="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（1）针对本项目设立的团队架构比较。团队架构清晰，设置合理的得5分；团队架构比较清晰，设置比较合理的得3分；团队架构设置的一般的得2分；团队架构设置的明显不足的得1分；未提供相应内容的不得分。</w:t>
      </w:r>
      <w:r/>
    </w:p>
    <w:p>
      <w:pPr>
        <w:ind w:firstLine="480"/>
        <w:spacing w:line="360" w:lineRule="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（2）针对本项目工作的人员分工比较。分工明确、合理的得5分；分工比较明确、合理的得3分；分工一般的得2分；分工不足的得1分；未提供相应内容的不得分。</w:t>
      </w:r>
      <w:r/>
    </w:p>
    <w:p>
      <w:pPr>
        <w:ind w:firstLine="480"/>
        <w:spacing w:line="360" w:lineRule="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（3）针对本项目的管理服务规章制度比较。制度清晰，设置合理的得5分；制度比较清晰，设置比较合理的得3分；制度设置的一般的得2分；制度设置的明显不足的得1分；未提供相应内容的不得分。</w:t>
      </w:r>
      <w:r/>
    </w:p>
    <w:p>
      <w:pPr>
        <w:ind w:firstLine="482"/>
        <w:spacing w:line="360" w:lineRule="auto"/>
        <w:rPr>
          <w:rFonts w:hint="eastAsia" w:ascii="宋体" w:hAnsi="宋体" w:eastAsia="宋体"/>
          <w:b/>
          <w:bCs w:val="0"/>
          <w:color w:val="auto"/>
          <w:sz w:val="24"/>
          <w:szCs w:val="24"/>
          <w:highlight w:val="none"/>
        </w:rPr>
      </w:pPr>
      <w:r>
        <w:rPr>
          <w:rFonts w:hint="eastAsia" w:ascii="宋体" w:hAnsi="宋体" w:eastAsia="宋体"/>
          <w:b/>
          <w:bCs w:val="0"/>
          <w:color w:val="auto"/>
          <w:sz w:val="24"/>
          <w:szCs w:val="24"/>
          <w:highlight w:val="none"/>
        </w:rPr>
        <w:t xml:space="preserve">4、应急保障措施比较（5分）</w:t>
      </w:r>
      <w:r/>
    </w:p>
    <w:p>
      <w:pPr>
        <w:ind w:firstLine="480"/>
        <w:spacing w:line="360" w:lineRule="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根据各投标人对本项目服务的应急保障措施进行综合评定。应急措施完整、全面，完全满足项目要求的得5分；应急措施比较完整、全面，能较好满足项目要求的得3分；应急措施基本满足项目要求的得2分；应急措施描述一般，方案有所欠缺的得1分；未提供相应内容的不得分。</w:t>
      </w:r>
      <w:r/>
    </w:p>
    <w:p>
      <w:pPr>
        <w:ind w:firstLine="482"/>
        <w:spacing w:line="360" w:lineRule="auto"/>
        <w:rPr>
          <w:rFonts w:hint="eastAsia" w:ascii="宋体" w:hAnsi="宋体" w:eastAsia="宋体"/>
          <w:b/>
          <w:bCs w:val="0"/>
          <w:color w:val="auto"/>
          <w:sz w:val="24"/>
          <w:szCs w:val="24"/>
          <w:highlight w:val="none"/>
        </w:rPr>
      </w:pPr>
      <w:r>
        <w:rPr>
          <w:rFonts w:hint="eastAsia" w:ascii="宋体" w:hAnsi="宋体" w:eastAsia="宋体"/>
          <w:b/>
          <w:bCs w:val="0"/>
          <w:color w:val="auto"/>
          <w:sz w:val="24"/>
          <w:szCs w:val="24"/>
          <w:highlight w:val="none"/>
        </w:rPr>
        <w:t xml:space="preserve">5、保密措施（5分）</w:t>
      </w:r>
      <w:r/>
    </w:p>
    <w:p>
      <w:pPr>
        <w:ind w:firstLine="480"/>
        <w:spacing w:line="360" w:lineRule="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供应商需针对本次项目提供《保密措施》。供应商有健全、完善的保密措施，有很强的针对性，完全满足项目需要的得5分</w:t>
      </w:r>
      <w:r>
        <w:rPr>
          <w:rFonts w:hint="eastAsia" w:ascii="宋体" w:hAnsi="宋体" w:eastAsia="宋体"/>
          <w:b w:val="0"/>
          <w:bCs/>
          <w:color w:val="auto"/>
          <w:sz w:val="24"/>
          <w:szCs w:val="24"/>
          <w:highlight w:val="none"/>
          <w:lang w:eastAsia="zh-CN"/>
        </w:rPr>
        <w:t xml:space="preserve">；</w:t>
      </w:r>
      <w:r>
        <w:rPr>
          <w:rFonts w:hint="eastAsia" w:ascii="宋体" w:hAnsi="宋体" w:eastAsia="宋体"/>
          <w:b w:val="0"/>
          <w:bCs/>
          <w:color w:val="auto"/>
          <w:sz w:val="24"/>
          <w:szCs w:val="24"/>
          <w:highlight w:val="none"/>
        </w:rPr>
        <w:t xml:space="preserve">有简单、常规的保密措施的得3分</w:t>
      </w:r>
      <w:r>
        <w:rPr>
          <w:rFonts w:hint="eastAsia" w:ascii="宋体" w:hAnsi="宋体" w:eastAsia="宋体"/>
          <w:b w:val="0"/>
          <w:bCs/>
          <w:color w:val="auto"/>
          <w:sz w:val="24"/>
          <w:szCs w:val="24"/>
          <w:highlight w:val="none"/>
          <w:lang w:eastAsia="zh-CN"/>
        </w:rPr>
        <w:t xml:space="preserve">；</w:t>
      </w:r>
      <w:r>
        <w:rPr>
          <w:rFonts w:hint="eastAsia" w:ascii="宋体" w:hAnsi="宋体" w:eastAsia="宋体"/>
          <w:b w:val="0"/>
          <w:bCs/>
          <w:color w:val="auto"/>
          <w:sz w:val="24"/>
          <w:szCs w:val="24"/>
          <w:highlight w:val="none"/>
        </w:rPr>
        <w:t xml:space="preserve">保密措施有缺陷的得2分</w:t>
      </w:r>
      <w:r>
        <w:rPr>
          <w:rFonts w:hint="eastAsia" w:ascii="宋体" w:hAnsi="宋体" w:eastAsia="宋体"/>
          <w:b w:val="0"/>
          <w:bCs/>
          <w:color w:val="auto"/>
          <w:sz w:val="24"/>
          <w:szCs w:val="24"/>
          <w:highlight w:val="none"/>
          <w:lang w:eastAsia="zh-CN"/>
        </w:rPr>
        <w:t xml:space="preserve">；</w:t>
      </w:r>
      <w:r>
        <w:rPr>
          <w:rFonts w:hint="eastAsia" w:ascii="宋体" w:hAnsi="宋体" w:eastAsia="宋体"/>
          <w:b w:val="0"/>
          <w:bCs/>
          <w:color w:val="auto"/>
          <w:sz w:val="24"/>
          <w:szCs w:val="24"/>
          <w:highlight w:val="none"/>
        </w:rPr>
        <w:t xml:space="preserve">未提供的不得分。</w:t>
      </w:r>
      <w:r/>
    </w:p>
    <w:p>
      <w:pPr>
        <w:ind w:firstLine="482"/>
        <w:spacing w:line="360" w:lineRule="auto"/>
        <w:rPr>
          <w:rFonts w:hint="eastAsia" w:ascii="宋体" w:hAnsi="宋体" w:eastAsia="宋体"/>
          <w:b/>
          <w:bCs w:val="0"/>
          <w:color w:val="auto"/>
          <w:sz w:val="24"/>
          <w:szCs w:val="24"/>
          <w:highlight w:val="none"/>
        </w:rPr>
      </w:pPr>
      <w:r>
        <w:rPr>
          <w:rFonts w:hint="eastAsia" w:ascii="宋体" w:hAnsi="宋体" w:eastAsia="宋体"/>
          <w:b/>
          <w:bCs w:val="0"/>
          <w:color w:val="auto"/>
          <w:sz w:val="24"/>
          <w:szCs w:val="24"/>
          <w:highlight w:val="none"/>
        </w:rPr>
        <w:t xml:space="preserve">（三）投标单位综合实力比较（20分）</w:t>
      </w:r>
      <w:r/>
    </w:p>
    <w:p>
      <w:pPr>
        <w:ind w:firstLine="482"/>
        <w:spacing w:line="360" w:lineRule="auto"/>
        <w:rPr>
          <w:rFonts w:hint="eastAsia" w:ascii="宋体" w:hAnsi="宋体" w:eastAsia="宋体"/>
          <w:b/>
          <w:bCs w:val="0"/>
          <w:color w:val="auto"/>
          <w:sz w:val="24"/>
          <w:szCs w:val="24"/>
          <w:highlight w:val="none"/>
        </w:rPr>
      </w:pPr>
      <w:r>
        <w:rPr>
          <w:rFonts w:hint="eastAsia" w:ascii="宋体" w:hAnsi="宋体" w:eastAsia="宋体"/>
          <w:b/>
          <w:bCs w:val="0"/>
          <w:color w:val="auto"/>
          <w:sz w:val="24"/>
          <w:szCs w:val="24"/>
          <w:highlight w:val="none"/>
        </w:rPr>
        <w:t xml:space="preserve">1、响应单位类似业绩情况比较（4分）</w:t>
      </w:r>
      <w:r/>
    </w:p>
    <w:p>
      <w:pPr>
        <w:ind w:firstLine="480"/>
        <w:spacing w:line="360" w:lineRule="auto"/>
        <w:rPr>
          <w:rFonts w:hint="default"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rPr>
        <w:t xml:space="preserve">响应单位2020年至今（以合同签订时间为准）承接过的类似项目业绩，每提供一份得2分，最高得4分。提供项目合同</w:t>
      </w:r>
      <w:r>
        <w:rPr>
          <w:rFonts w:hint="eastAsia" w:ascii="宋体" w:hAnsi="宋体" w:eastAsia="宋体"/>
          <w:b w:val="0"/>
          <w:bCs/>
          <w:color w:val="auto"/>
          <w:sz w:val="24"/>
          <w:szCs w:val="24"/>
          <w:highlight w:val="none"/>
          <w:lang w:val="en-US" w:eastAsia="zh-CN"/>
        </w:rPr>
        <w:t xml:space="preserve">扫描件</w:t>
      </w:r>
      <w:r>
        <w:rPr>
          <w:rFonts w:hint="eastAsia" w:ascii="宋体" w:hAnsi="宋体" w:eastAsia="宋体"/>
          <w:b w:val="0"/>
          <w:bCs/>
          <w:color w:val="auto"/>
          <w:sz w:val="24"/>
          <w:szCs w:val="24"/>
          <w:highlight w:val="none"/>
          <w:lang w:eastAsia="zh-CN"/>
        </w:rPr>
        <w:t xml:space="preserve">，</w:t>
      </w:r>
      <w:r>
        <w:rPr>
          <w:rFonts w:hint="eastAsia" w:ascii="宋体" w:hAnsi="宋体" w:eastAsia="宋体"/>
          <w:b w:val="0"/>
          <w:bCs/>
          <w:color w:val="auto"/>
          <w:sz w:val="24"/>
          <w:szCs w:val="24"/>
          <w:highlight w:val="none"/>
          <w:lang w:val="en-US" w:eastAsia="zh-CN"/>
        </w:rPr>
        <w:t xml:space="preserve">未提供不得分。</w:t>
      </w:r>
      <w:r/>
    </w:p>
    <w:p>
      <w:pPr>
        <w:ind w:firstLine="482"/>
        <w:spacing w:line="360" w:lineRule="auto"/>
        <w:rPr>
          <w:rFonts w:hint="eastAsia" w:ascii="宋体" w:hAnsi="宋体" w:eastAsia="宋体"/>
          <w:b/>
          <w:bCs w:val="0"/>
          <w:color w:val="auto"/>
          <w:sz w:val="24"/>
          <w:szCs w:val="24"/>
          <w:highlight w:val="none"/>
        </w:rPr>
      </w:pPr>
      <w:r>
        <w:rPr>
          <w:rFonts w:hint="eastAsia" w:ascii="宋体" w:hAnsi="宋体" w:eastAsia="宋体"/>
          <w:b/>
          <w:bCs w:val="0"/>
          <w:color w:val="auto"/>
          <w:sz w:val="24"/>
          <w:szCs w:val="24"/>
          <w:highlight w:val="none"/>
        </w:rPr>
        <w:t xml:space="preserve">2、其他服务人员（除项目负责人及技术负责人以外的人员）比较（10分）</w:t>
      </w:r>
      <w:r/>
    </w:p>
    <w:p>
      <w:pPr>
        <w:ind w:firstLine="480"/>
        <w:spacing w:line="360" w:lineRule="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lang w:val="en-US" w:eastAsia="zh-CN"/>
        </w:rPr>
        <w:t xml:space="preserve">除项目负责人和技术负责人外，投标单位额外提供的</w:t>
      </w:r>
      <w:r>
        <w:rPr>
          <w:rFonts w:hint="eastAsia" w:ascii="宋体" w:hAnsi="宋体" w:eastAsia="宋体"/>
          <w:b w:val="0"/>
          <w:bCs/>
          <w:color w:val="auto"/>
          <w:sz w:val="24"/>
          <w:szCs w:val="24"/>
          <w:highlight w:val="none"/>
        </w:rPr>
        <w:t xml:space="preserve">其他服务人员中</w:t>
      </w:r>
      <w:r>
        <w:rPr>
          <w:rFonts w:hint="eastAsia" w:ascii="宋体" w:hAnsi="宋体" w:eastAsia="宋体"/>
          <w:b w:val="0"/>
          <w:bCs/>
          <w:color w:val="auto"/>
          <w:sz w:val="24"/>
          <w:szCs w:val="24"/>
          <w:highlight w:val="none"/>
          <w:lang w:eastAsia="zh-CN"/>
        </w:rPr>
        <w:t xml:space="preserve">，</w:t>
      </w:r>
      <w:r>
        <w:rPr>
          <w:rFonts w:hint="eastAsia" w:ascii="宋体" w:hAnsi="宋体" w:eastAsia="宋体"/>
          <w:b w:val="0"/>
          <w:bCs/>
          <w:color w:val="auto"/>
          <w:sz w:val="24"/>
          <w:szCs w:val="24"/>
          <w:highlight w:val="none"/>
        </w:rPr>
        <w:t xml:space="preserve">具有四级/中级技能及以上消防设施操作员（或建（构）筑物消防员）证书的</w:t>
      </w:r>
      <w:r>
        <w:rPr>
          <w:rFonts w:hint="eastAsia" w:ascii="宋体" w:hAnsi="宋体" w:eastAsia="宋体"/>
          <w:b w:val="0"/>
          <w:bCs/>
          <w:color w:val="auto"/>
          <w:sz w:val="24"/>
          <w:szCs w:val="24"/>
          <w:highlight w:val="none"/>
          <w:lang w:eastAsia="zh-CN"/>
        </w:rPr>
        <w:t xml:space="preserve">，</w:t>
      </w:r>
      <w:r>
        <w:rPr>
          <w:rFonts w:hint="eastAsia" w:ascii="宋体" w:hAnsi="宋体" w:eastAsia="宋体"/>
          <w:b w:val="0"/>
          <w:bCs/>
          <w:color w:val="auto"/>
          <w:sz w:val="24"/>
          <w:szCs w:val="24"/>
          <w:highlight w:val="none"/>
        </w:rPr>
        <w:t xml:space="preserve">每提供1份得2分，最高得10分。提供证书扫描件</w:t>
      </w:r>
      <w:r>
        <w:rPr>
          <w:rFonts w:hint="eastAsia" w:ascii="宋体" w:hAnsi="宋体" w:eastAsia="宋体"/>
          <w:b w:val="0"/>
          <w:bCs/>
          <w:color w:val="auto"/>
          <w:sz w:val="24"/>
          <w:szCs w:val="24"/>
          <w:highlight w:val="none"/>
          <w:lang w:val="en-US" w:eastAsia="zh-CN"/>
        </w:rPr>
        <w:t xml:space="preserve">以及</w:t>
      </w:r>
      <w:r>
        <w:rPr>
          <w:rFonts w:hint="eastAsia" w:ascii="宋体" w:hAnsi="宋体" w:eastAsia="宋体"/>
          <w:b w:val="0"/>
          <w:bCs/>
          <w:color w:val="auto"/>
          <w:sz w:val="24"/>
          <w:szCs w:val="24"/>
          <w:highlight w:val="none"/>
        </w:rPr>
        <w:t xml:space="preserve">投标单位社会消防技术服务信息系统</w:t>
      </w:r>
      <w:r>
        <w:rPr>
          <w:rFonts w:hint="eastAsia" w:ascii="宋体" w:hAnsi="宋体" w:eastAsia="宋体"/>
          <w:b w:val="0"/>
          <w:bCs/>
          <w:color w:val="auto"/>
          <w:sz w:val="24"/>
          <w:szCs w:val="24"/>
          <w:highlight w:val="none"/>
          <w:lang w:val="en-US" w:eastAsia="zh-CN"/>
        </w:rPr>
        <w:t xml:space="preserve">的</w:t>
      </w:r>
      <w:r>
        <w:rPr>
          <w:rFonts w:hint="eastAsia" w:ascii="宋体" w:hAnsi="宋体" w:eastAsia="宋体"/>
          <w:b w:val="0"/>
          <w:bCs/>
          <w:color w:val="auto"/>
          <w:sz w:val="24"/>
          <w:szCs w:val="24"/>
          <w:highlight w:val="none"/>
        </w:rPr>
        <w:t xml:space="preserve">备案截图，不提供不得分。</w:t>
      </w:r>
      <w:r/>
    </w:p>
    <w:p>
      <w:pPr>
        <w:ind w:firstLine="482"/>
        <w:spacing w:line="360" w:lineRule="auto"/>
        <w:rPr>
          <w:rFonts w:hint="eastAsia" w:ascii="宋体" w:hAnsi="宋体" w:eastAsia="宋体"/>
          <w:b/>
          <w:bCs w:val="0"/>
          <w:color w:val="auto"/>
          <w:sz w:val="24"/>
          <w:szCs w:val="24"/>
          <w:highlight w:val="none"/>
        </w:rPr>
      </w:pPr>
      <w:r>
        <w:rPr>
          <w:rFonts w:hint="eastAsia" w:ascii="宋体" w:hAnsi="宋体" w:eastAsia="宋体"/>
          <w:b/>
          <w:bCs w:val="0"/>
          <w:color w:val="auto"/>
          <w:sz w:val="24"/>
          <w:szCs w:val="24"/>
          <w:highlight w:val="none"/>
        </w:rPr>
        <w:t xml:space="preserve">3、设备配备情况（6分）</w:t>
      </w:r>
      <w:r/>
    </w:p>
    <w:p>
      <w:pPr>
        <w:ind w:firstLine="480"/>
        <w:spacing w:line="360" w:lineRule="auto"/>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响应单位拟投入本项目所需的烟气分析仪、烟密度仪和辐射热通量计，均需提供经第三方计量器具校准机构出具的校准证书，每提供一份得2分，共计6分。（提供相关证明材料扫描件）</w:t>
      </w:r>
      <w:r/>
    </w:p>
    <w:p>
      <w:pPr>
        <w:ind w:firstLine="482"/>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p>
      <w:pPr>
        <w:ind w:firstLine="482"/>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1.针对评分标准中评分的每一条，供应商均应提供相关资料并作出相应说明供评委评判，不提供相关资料的视为不具备该项得分的条件。</w:t>
      </w:r>
      <w:r/>
    </w:p>
    <w:p>
      <w:pPr>
        <w:ind w:firstLine="482"/>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2.投标文件中如出现前后不一致时，评委有权请供应商澄清说明，澄清说明事项涉及评分时，评委有权酌情扣分。</w:t>
      </w:r>
      <w:r/>
    </w:p>
    <w:p>
      <w:pPr>
        <w:ind w:firstLine="482"/>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供应商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482"/>
        <w:jc w:val="right"/>
        <w:spacing w:line="360" w:lineRule="auto"/>
        <w:widowControl/>
        <w:rPr>
          <w:rFonts w:ascii="宋体" w:hAnsi="宋体" w:eastAsia="宋体" w:cs="宋体"/>
          <w:b/>
          <w:bCs/>
          <w:color w:val="auto"/>
          <w:sz w:val="24"/>
          <w:szCs w:val="24"/>
          <w:highlight w:val="none"/>
          <w:lang w:val="zh-TW"/>
        </w:rPr>
      </w:pPr>
      <w:r>
        <w:rPr>
          <w:rFonts w:hint="eastAsia" w:ascii="宋体" w:hAnsi="宋体" w:eastAsia="宋体" w:cs="宋体"/>
          <w:b/>
          <w:bCs/>
          <w:color w:val="auto"/>
          <w:sz w:val="24"/>
          <w:szCs w:val="24"/>
          <w:highlight w:val="none"/>
          <w:lang w:eastAsia="en-US"/>
        </w:rPr>
        <w:t xml:space="preserve">（全文完）</w:t>
      </w:r>
      <w:r/>
    </w:p>
    <w:sectPr>
      <w:headerReference w:type="default" r:id="rId11"/>
      <w:headerReference w:type="first" r:id="rId12"/>
      <w:footerReference w:type="default" r:id="rId15"/>
      <w:footerReference w:type="first" r:id="rId16"/>
      <w:footnotePr/>
      <w:endnotePr/>
      <w:type w:val="nextPage"/>
      <w:pgSz w:w="11906" w:h="16838" w:orient="portrait"/>
      <w:pgMar w:top="1077" w:right="1417" w:bottom="1077" w:left="1417"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仿宋_GB2312">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serif">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Style w:val="995"/>
      </w:rPr>
      <w:framePr w:wrap="around" w:vAnchor="text" w:hAnchor="margin" w:xAlign="right" w:y="1"/>
    </w:pPr>
    <w:r>
      <w:fldChar w:fldCharType="begin"/>
    </w:r>
    <w:r>
      <w:rPr>
        <w:rStyle w:val="995"/>
      </w:rPr>
      <w:instrText xml:space="preserve">PAGE  </w:instrText>
    </w:r>
    <w:r>
      <w:fldChar w:fldCharType="end"/>
    </w:r>
    <w:r/>
  </w:p>
  <w:p>
    <w:pPr>
      <w:pStyle w:val="97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2725420</wp:posOffset>
              </wp:positionH>
              <wp:positionV relativeFrom="paragraph">
                <wp:posOffset>121920</wp:posOffset>
              </wp:positionV>
              <wp:extent cx="288925" cy="310515"/>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288924" cy="3105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9"/>
                            <w:jc w:val="center"/>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2</w:t>
                          </w:r>
                          <w:r>
                            <w:rPr>
                              <w:rFonts w:hint="eastAsia" w:ascii="宋体" w:hAnsi="宋体" w:eastAsia="宋体" w:cs="宋体"/>
                              <w:sz w:val="21"/>
                              <w:szCs w:val="21"/>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4.6pt;mso-position-horizontal:absolute;mso-position-vertical-relative:text;margin-top:9.6pt;mso-position-vertical:absolute;width:22.8pt;height:24.4pt;mso-wrap-distance-left:9.0pt;mso-wrap-distance-top:0.0pt;mso-wrap-distance-right:9.0pt;mso-wrap-distance-bottom:0.0pt;v-text-anchor:top;visibility:visible;" filled="f" stroked="f" strokeweight="0.50pt">
              <v:textbox inset="0,0,0,0">
                <w:txbxContent>
                  <w:p>
                    <w:pPr>
                      <w:pStyle w:val="979"/>
                      <w:jc w:val="center"/>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2</w:t>
                    </w:r>
                    <w:r>
                      <w:rPr>
                        <w:rFonts w:hint="eastAsia" w:ascii="宋体" w:hAnsi="宋体" w:eastAsia="宋体" w:cs="宋体"/>
                        <w:sz w:val="21"/>
                        <w:szCs w:val="21"/>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2746375</wp:posOffset>
              </wp:positionH>
              <wp:positionV relativeFrom="paragraph">
                <wp:posOffset>0</wp:posOffset>
              </wp:positionV>
              <wp:extent cx="340360" cy="147955"/>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340360" cy="1479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9"/>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16.2pt;mso-position-horizontal:absolute;mso-position-vertical-relative:text;margin-top:0.0pt;mso-position-vertical:absolute;width:26.8pt;height:11.6pt;mso-wrap-distance-left:9.0pt;mso-wrap-distance-top:0.0pt;mso-wrap-distance-right:9.0pt;mso-wrap-distance-bottom:0.0pt;v-text-anchor:top;visibility:visible;" filled="f" stroked="f" strokeweight="0.50pt">
              <v:textbox inset="0,0,0,0">
                <w:txbxContent>
                  <w:p>
                    <w:pPr>
                      <w:pStyle w:val="979"/>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ind w:right="90"/>
      <w:jc w:val="center"/>
      <w:rPr>
        <w:rFonts w:hint="eastAsia" w:ascii="宋体" w:hAnsi="宋体" w:eastAsia="宋体" w:cs="宋体"/>
        <w:lang w:eastAsia="zh-CN"/>
      </w:rPr>
    </w:pPr>
    <w:r>
      <w:rPr>
        <w:rFonts w:hint="eastAsia" w:ascii="宋体" w:hAnsi="宋体" w:eastAsia="宋体" w:cs="宋体"/>
        <w:u w:val="single"/>
      </w:rPr>
      <w:t xml:space="preserve">政府采购公开招标文件                                      招标编号：</w:t>
    </w:r>
    <w:r>
      <w:rPr>
        <w:rFonts w:hint="eastAsia" w:ascii="宋体" w:hAnsi="宋体" w:eastAsia="宋体" w:cs="宋体"/>
        <w:u w:val="single"/>
        <w:lang w:eastAsia="zh-CN"/>
      </w:rPr>
      <w:t xml:space="preserve">JSZC-320500-HWZX-G2025-0768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pPr>
    <w:r>
      <w:rPr>
        <w:rFonts w:hint="eastAsia" w:hAnsi="宋体" w:eastAsia="宋体"/>
      </w:rPr>
      <w:t xml:space="preserve">政府采购</w:t>
    </w:r>
    <w:r>
      <w:rPr>
        <w:rFonts w:hAnsi="宋体" w:eastAsia="宋体"/>
      </w:rPr>
      <w:t xml:space="preserve">招标文件</w:t>
    </w:r>
    <w:r>
      <w:rPr>
        <w:rFonts w:hint="eastAsia" w:eastAsia="宋体"/>
      </w:rPr>
      <w:tab/>
    </w:r>
    <w:r>
      <w:rPr>
        <w:rFonts w:hint="eastAsia" w:eastAsia="宋体"/>
      </w:rPr>
      <w:tab/>
    </w:r>
    <w:r>
      <w:rPr>
        <w:rFonts w:hint="eastAsia" w:ascii="宋体" w:hAnsi="宋体" w:eastAsia="宋体"/>
      </w:rPr>
      <w:t xml:space="preserve">招标编号</w:t>
    </w:r>
    <w:r>
      <w:rPr>
        <w:rFonts w:ascii="宋体" w:hAnsi="宋体" w:eastAsia="宋体"/>
      </w:rPr>
      <w:t xml:space="preserve">：SZZC20</w:t>
    </w:r>
    <w:r>
      <w:rPr>
        <w:rFonts w:hint="eastAsia" w:ascii="宋体" w:hAnsi="宋体" w:eastAsia="宋体"/>
      </w:rPr>
      <w:t xml:space="preserve">20</w:t>
    </w:r>
    <w:r>
      <w:rPr>
        <w:rFonts w:ascii="宋体" w:hAnsi="宋体" w:eastAsia="宋体"/>
      </w:rPr>
      <w:t xml:space="preserve">-</w:t>
    </w:r>
    <w:r>
      <w:rPr>
        <w:rFonts w:hint="eastAsia" w:ascii="宋体" w:hAnsi="宋体" w:eastAsia="宋体"/>
      </w:rPr>
      <w:t xml:space="preserve">N-</w:t>
    </w:r>
    <w:r>
      <w:rPr>
        <w:rFonts w:ascii="宋体" w:hAnsi="宋体" w:eastAsia="宋体"/>
      </w:rPr>
      <w:t xml:space="preserve">G-</w:t>
    </w:r>
    <w:r>
      <w:rPr>
        <w:rFonts w:hint="eastAsia" w:ascii="宋体" w:hAnsi="宋体" w:eastAsia="宋体"/>
      </w:rPr>
      <w:t xml:space="preserve">   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ind w:right="90"/>
      <w:jc w:val="center"/>
      <w:rPr>
        <w:rFonts w:ascii="宋体" w:hAnsi="宋体" w:eastAsia="宋体" w:cs="宋体"/>
        <w:u w:val="single"/>
      </w:rPr>
    </w:pPr>
    <w:r>
      <w:rPr>
        <w:rFonts w:hint="eastAsia" w:ascii="宋体" w:hAnsi="宋体" w:eastAsia="宋体" w:cs="宋体"/>
        <w:u w:val="single"/>
      </w:rPr>
      <w:t xml:space="preserve">政府采购公开招标文件                                        招标编号：</w:t>
    </w:r>
    <w:r>
      <w:rPr>
        <w:rFonts w:hint="eastAsia" w:ascii="宋体" w:hAnsi="宋体" w:eastAsia="宋体" w:cs="宋体"/>
        <w:u w:val="single"/>
        <w:lang w:eastAsia="zh-CN"/>
      </w:rPr>
      <w:t xml:space="preserve">JSZC-320500-HWZX-G2025-0768</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ind w:right="90"/>
      <w:jc w:val="center"/>
      <w:rPr>
        <w:rFonts w:hint="eastAsia" w:ascii="宋体" w:hAnsi="宋体" w:eastAsia="宋体" w:cs="宋体"/>
        <w:u w:val="single"/>
      </w:rPr>
    </w:pPr>
    <w:r>
      <w:rPr>
        <w:rFonts w:hint="eastAsia" w:ascii="宋体" w:hAnsi="宋体" w:eastAsia="宋体" w:cs="宋体"/>
        <w:u w:val="single"/>
      </w:rPr>
      <w:t xml:space="preserve">政府采购公开招标文件                                      招标编号：</w:t>
    </w:r>
    <w:r>
      <w:rPr>
        <w:rFonts w:hint="eastAsia" w:ascii="宋体" w:hAnsi="宋体" w:eastAsia="宋体" w:cs="宋体"/>
        <w:u w:val="single"/>
        <w:lang w:eastAsia="zh-CN"/>
      </w:rPr>
      <w:t xml:space="preserve">JSZC-320500-HWZX-G2025-0768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63"/>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9"/>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73"/>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1">
    <w:name w:val="Heading 1 Char"/>
    <w:basedOn w:val="959"/>
    <w:link w:val="956"/>
    <w:uiPriority w:val="9"/>
    <w:rPr>
      <w:rFonts w:ascii="Arial" w:hAnsi="Arial" w:eastAsia="Arial" w:cs="Arial"/>
      <w:sz w:val="40"/>
      <w:szCs w:val="40"/>
    </w:rPr>
  </w:style>
  <w:style w:type="character" w:styleId="792">
    <w:name w:val="Heading 2 Char"/>
    <w:basedOn w:val="959"/>
    <w:link w:val="957"/>
    <w:uiPriority w:val="9"/>
    <w:rPr>
      <w:rFonts w:ascii="Arial" w:hAnsi="Arial" w:eastAsia="Arial" w:cs="Arial"/>
      <w:sz w:val="34"/>
    </w:rPr>
  </w:style>
  <w:style w:type="character" w:styleId="793">
    <w:name w:val="Heading 3 Char"/>
    <w:basedOn w:val="959"/>
    <w:link w:val="958"/>
    <w:uiPriority w:val="9"/>
    <w:rPr>
      <w:rFonts w:ascii="Arial" w:hAnsi="Arial" w:eastAsia="Arial" w:cs="Arial"/>
      <w:sz w:val="30"/>
      <w:szCs w:val="30"/>
    </w:rPr>
  </w:style>
  <w:style w:type="paragraph" w:styleId="794">
    <w:name w:val="Heading 4"/>
    <w:basedOn w:val="955"/>
    <w:next w:val="955"/>
    <w:link w:val="795"/>
    <w:uiPriority w:val="9"/>
    <w:unhideWhenUsed/>
    <w:qFormat/>
    <w:pPr>
      <w:keepLines/>
      <w:keepNext/>
      <w:spacing w:before="320" w:after="200"/>
      <w:outlineLvl w:val="3"/>
    </w:pPr>
    <w:rPr>
      <w:rFonts w:ascii="Arial" w:hAnsi="Arial" w:eastAsia="Arial" w:cs="Arial"/>
      <w:b/>
      <w:bCs/>
      <w:sz w:val="26"/>
      <w:szCs w:val="26"/>
    </w:rPr>
  </w:style>
  <w:style w:type="character" w:styleId="795">
    <w:name w:val="Heading 4 Char"/>
    <w:basedOn w:val="959"/>
    <w:link w:val="794"/>
    <w:uiPriority w:val="9"/>
    <w:rPr>
      <w:rFonts w:ascii="Arial" w:hAnsi="Arial" w:eastAsia="Arial" w:cs="Arial"/>
      <w:b/>
      <w:bCs/>
      <w:sz w:val="26"/>
      <w:szCs w:val="26"/>
    </w:rPr>
  </w:style>
  <w:style w:type="paragraph" w:styleId="796">
    <w:name w:val="Heading 5"/>
    <w:basedOn w:val="955"/>
    <w:next w:val="955"/>
    <w:link w:val="797"/>
    <w:uiPriority w:val="9"/>
    <w:unhideWhenUsed/>
    <w:qFormat/>
    <w:pPr>
      <w:keepLines/>
      <w:keepNext/>
      <w:spacing w:before="320" w:after="200"/>
      <w:outlineLvl w:val="4"/>
    </w:pPr>
    <w:rPr>
      <w:rFonts w:ascii="Arial" w:hAnsi="Arial" w:eastAsia="Arial" w:cs="Arial"/>
      <w:b/>
      <w:bCs/>
      <w:sz w:val="24"/>
      <w:szCs w:val="24"/>
    </w:rPr>
  </w:style>
  <w:style w:type="character" w:styleId="797">
    <w:name w:val="Heading 5 Char"/>
    <w:basedOn w:val="959"/>
    <w:link w:val="796"/>
    <w:uiPriority w:val="9"/>
    <w:rPr>
      <w:rFonts w:ascii="Arial" w:hAnsi="Arial" w:eastAsia="Arial" w:cs="Arial"/>
      <w:b/>
      <w:bCs/>
      <w:sz w:val="24"/>
      <w:szCs w:val="24"/>
    </w:rPr>
  </w:style>
  <w:style w:type="paragraph" w:styleId="798">
    <w:name w:val="Heading 6"/>
    <w:basedOn w:val="955"/>
    <w:next w:val="955"/>
    <w:link w:val="799"/>
    <w:uiPriority w:val="9"/>
    <w:unhideWhenUsed/>
    <w:qFormat/>
    <w:pPr>
      <w:keepLines/>
      <w:keepNext/>
      <w:spacing w:before="320" w:after="200"/>
      <w:outlineLvl w:val="5"/>
    </w:pPr>
    <w:rPr>
      <w:rFonts w:ascii="Arial" w:hAnsi="Arial" w:eastAsia="Arial" w:cs="Arial"/>
      <w:b/>
      <w:bCs/>
      <w:sz w:val="22"/>
      <w:szCs w:val="22"/>
    </w:rPr>
  </w:style>
  <w:style w:type="character" w:styleId="799">
    <w:name w:val="Heading 6 Char"/>
    <w:basedOn w:val="959"/>
    <w:link w:val="798"/>
    <w:uiPriority w:val="9"/>
    <w:rPr>
      <w:rFonts w:ascii="Arial" w:hAnsi="Arial" w:eastAsia="Arial" w:cs="Arial"/>
      <w:b/>
      <w:bCs/>
      <w:sz w:val="22"/>
      <w:szCs w:val="22"/>
    </w:rPr>
  </w:style>
  <w:style w:type="paragraph" w:styleId="800">
    <w:name w:val="Heading 7"/>
    <w:basedOn w:val="955"/>
    <w:next w:val="955"/>
    <w:link w:val="801"/>
    <w:uiPriority w:val="9"/>
    <w:unhideWhenUsed/>
    <w:qFormat/>
    <w:pPr>
      <w:keepLines/>
      <w:keepNext/>
      <w:spacing w:before="320" w:after="200"/>
      <w:outlineLvl w:val="6"/>
    </w:pPr>
    <w:rPr>
      <w:rFonts w:ascii="Arial" w:hAnsi="Arial" w:eastAsia="Arial" w:cs="Arial"/>
      <w:b/>
      <w:bCs/>
      <w:i/>
      <w:iCs/>
      <w:sz w:val="22"/>
      <w:szCs w:val="22"/>
    </w:rPr>
  </w:style>
  <w:style w:type="character" w:styleId="801">
    <w:name w:val="Heading 7 Char"/>
    <w:basedOn w:val="959"/>
    <w:link w:val="800"/>
    <w:uiPriority w:val="9"/>
    <w:rPr>
      <w:rFonts w:ascii="Arial" w:hAnsi="Arial" w:eastAsia="Arial" w:cs="Arial"/>
      <w:b/>
      <w:bCs/>
      <w:i/>
      <w:iCs/>
      <w:sz w:val="22"/>
      <w:szCs w:val="22"/>
    </w:rPr>
  </w:style>
  <w:style w:type="paragraph" w:styleId="802">
    <w:name w:val="Heading 8"/>
    <w:basedOn w:val="955"/>
    <w:next w:val="955"/>
    <w:link w:val="803"/>
    <w:uiPriority w:val="9"/>
    <w:unhideWhenUsed/>
    <w:qFormat/>
    <w:pPr>
      <w:keepLines/>
      <w:keepNext/>
      <w:spacing w:before="320" w:after="200"/>
      <w:outlineLvl w:val="7"/>
    </w:pPr>
    <w:rPr>
      <w:rFonts w:ascii="Arial" w:hAnsi="Arial" w:eastAsia="Arial" w:cs="Arial"/>
      <w:i/>
      <w:iCs/>
      <w:sz w:val="22"/>
      <w:szCs w:val="22"/>
    </w:rPr>
  </w:style>
  <w:style w:type="character" w:styleId="803">
    <w:name w:val="Heading 8 Char"/>
    <w:basedOn w:val="959"/>
    <w:link w:val="802"/>
    <w:uiPriority w:val="9"/>
    <w:rPr>
      <w:rFonts w:ascii="Arial" w:hAnsi="Arial" w:eastAsia="Arial" w:cs="Arial"/>
      <w:i/>
      <w:iCs/>
      <w:sz w:val="22"/>
      <w:szCs w:val="22"/>
    </w:rPr>
  </w:style>
  <w:style w:type="paragraph" w:styleId="804">
    <w:name w:val="Heading 9"/>
    <w:basedOn w:val="955"/>
    <w:next w:val="955"/>
    <w:link w:val="805"/>
    <w:uiPriority w:val="9"/>
    <w:unhideWhenUsed/>
    <w:qFormat/>
    <w:pPr>
      <w:keepLines/>
      <w:keepNext/>
      <w:spacing w:before="320" w:after="200"/>
      <w:outlineLvl w:val="8"/>
    </w:pPr>
    <w:rPr>
      <w:rFonts w:ascii="Arial" w:hAnsi="Arial" w:eastAsia="Arial" w:cs="Arial"/>
      <w:i/>
      <w:iCs/>
      <w:sz w:val="21"/>
      <w:szCs w:val="21"/>
    </w:rPr>
  </w:style>
  <w:style w:type="character" w:styleId="805">
    <w:name w:val="Heading 9 Char"/>
    <w:basedOn w:val="959"/>
    <w:link w:val="804"/>
    <w:uiPriority w:val="9"/>
    <w:rPr>
      <w:rFonts w:ascii="Arial" w:hAnsi="Arial" w:eastAsia="Arial" w:cs="Arial"/>
      <w:i/>
      <w:iCs/>
      <w:sz w:val="21"/>
      <w:szCs w:val="21"/>
    </w:rPr>
  </w:style>
  <w:style w:type="paragraph" w:styleId="806">
    <w:name w:val="No Spacing"/>
    <w:uiPriority w:val="1"/>
    <w:qFormat/>
    <w:pPr>
      <w:spacing w:before="0" w:after="0" w:line="240" w:lineRule="auto"/>
    </w:pPr>
  </w:style>
  <w:style w:type="paragraph" w:styleId="807">
    <w:name w:val="Title"/>
    <w:basedOn w:val="955"/>
    <w:next w:val="955"/>
    <w:link w:val="808"/>
    <w:uiPriority w:val="10"/>
    <w:qFormat/>
    <w:pPr>
      <w:contextualSpacing/>
      <w:spacing w:before="300" w:after="200"/>
    </w:pPr>
    <w:rPr>
      <w:sz w:val="48"/>
      <w:szCs w:val="48"/>
    </w:rPr>
  </w:style>
  <w:style w:type="character" w:styleId="808">
    <w:name w:val="Title Char"/>
    <w:basedOn w:val="959"/>
    <w:link w:val="807"/>
    <w:uiPriority w:val="10"/>
    <w:rPr>
      <w:sz w:val="48"/>
      <w:szCs w:val="48"/>
    </w:rPr>
  </w:style>
  <w:style w:type="character" w:styleId="809">
    <w:name w:val="Subtitle Char"/>
    <w:basedOn w:val="959"/>
    <w:link w:val="983"/>
    <w:uiPriority w:val="11"/>
    <w:rPr>
      <w:sz w:val="24"/>
      <w:szCs w:val="24"/>
    </w:rPr>
  </w:style>
  <w:style w:type="paragraph" w:styleId="810">
    <w:name w:val="Quote"/>
    <w:basedOn w:val="955"/>
    <w:next w:val="955"/>
    <w:link w:val="811"/>
    <w:uiPriority w:val="29"/>
    <w:qFormat/>
    <w:pPr>
      <w:ind w:left="720" w:right="720"/>
    </w:pPr>
    <w:rPr>
      <w:i/>
    </w:rPr>
  </w:style>
  <w:style w:type="character" w:styleId="811">
    <w:name w:val="Quote Char"/>
    <w:link w:val="810"/>
    <w:uiPriority w:val="29"/>
    <w:rPr>
      <w:i/>
    </w:rPr>
  </w:style>
  <w:style w:type="paragraph" w:styleId="812">
    <w:name w:val="Intense Quote"/>
    <w:basedOn w:val="955"/>
    <w:next w:val="955"/>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link w:val="812"/>
    <w:uiPriority w:val="30"/>
    <w:rPr>
      <w:i/>
    </w:rPr>
  </w:style>
  <w:style w:type="character" w:styleId="814">
    <w:name w:val="Header Char"/>
    <w:basedOn w:val="959"/>
    <w:link w:val="981"/>
    <w:uiPriority w:val="99"/>
  </w:style>
  <w:style w:type="character" w:styleId="815">
    <w:name w:val="Footer Char"/>
    <w:basedOn w:val="959"/>
    <w:link w:val="979"/>
    <w:uiPriority w:val="99"/>
  </w:style>
  <w:style w:type="paragraph" w:styleId="816">
    <w:name w:val="Caption"/>
    <w:basedOn w:val="955"/>
    <w:next w:val="955"/>
    <w:uiPriority w:val="35"/>
    <w:semiHidden/>
    <w:unhideWhenUsed/>
    <w:qFormat/>
    <w:pPr>
      <w:spacing w:line="276" w:lineRule="auto"/>
    </w:pPr>
    <w:rPr>
      <w:b/>
      <w:bCs/>
      <w:color w:val="4f81bd" w:themeColor="accent1"/>
      <w:sz w:val="18"/>
      <w:szCs w:val="18"/>
    </w:rPr>
  </w:style>
  <w:style w:type="character" w:styleId="817">
    <w:name w:val="Caption Char"/>
    <w:basedOn w:val="816"/>
    <w:link w:val="979"/>
    <w:uiPriority w:val="99"/>
  </w:style>
  <w:style w:type="table" w:styleId="818">
    <w:name w:val="Table Grid Light"/>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9">
    <w:name w:val="Plain Table 1"/>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basedOn w:val="9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basedOn w:val="9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1 Light - Accent 1"/>
    <w:basedOn w:val="9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6">
    <w:name w:val="Grid Table 1 Light - Accent 2"/>
    <w:basedOn w:val="9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7">
    <w:name w:val="Grid Table 1 Light - Accent 3"/>
    <w:basedOn w:val="9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8">
    <w:name w:val="Grid Table 1 Light - Accent 4"/>
    <w:basedOn w:val="9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9">
    <w:name w:val="Grid Table 1 Light - Accent 5"/>
    <w:basedOn w:val="9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0">
    <w:name w:val="Grid Table 1 Light - Accent 6"/>
    <w:basedOn w:val="9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1">
    <w:name w:val="Grid Table 2"/>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2 - Accent 1"/>
    <w:basedOn w:val="9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3">
    <w:name w:val="Grid Table 2 - Accent 2"/>
    <w:basedOn w:val="9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2 - Accent 3"/>
    <w:basedOn w:val="9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2 - Accent 4"/>
    <w:basedOn w:val="9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2 - Accent 5"/>
    <w:basedOn w:val="9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7">
    <w:name w:val="Grid Table 2 - Accent 6"/>
    <w:basedOn w:val="9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8">
    <w:name w:val="Grid Table 3"/>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1"/>
    <w:basedOn w:val="9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2"/>
    <w:basedOn w:val="9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3"/>
    <w:basedOn w:val="9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4"/>
    <w:basedOn w:val="9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5"/>
    <w:basedOn w:val="9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6"/>
    <w:basedOn w:val="9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basedOn w:val="9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4 - Accent 1"/>
    <w:basedOn w:val="9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7">
    <w:name w:val="Grid Table 4 - Accent 2"/>
    <w:basedOn w:val="9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8">
    <w:name w:val="Grid Table 4 - Accent 3"/>
    <w:basedOn w:val="9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9">
    <w:name w:val="Grid Table 4 - Accent 4"/>
    <w:basedOn w:val="9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0">
    <w:name w:val="Grid Table 4 - Accent 5"/>
    <w:basedOn w:val="9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1">
    <w:name w:val="Grid Table 4 - Accent 6"/>
    <w:basedOn w:val="9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2">
    <w:name w:val="Grid Table 5 Dark"/>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5 Dark- Accent 1"/>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4">
    <w:name w:val="Grid Table 5 Dark - Accent 2"/>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5">
    <w:name w:val="Grid Table 5 Dark - Accent 3"/>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6">
    <w:name w:val="Grid Table 5 Dark- Accent 4"/>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7">
    <w:name w:val="Grid Table 5 Dark - Accent 5"/>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8">
    <w:name w:val="Grid Table 5 Dark - Accent 6"/>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9">
    <w:name w:val="Grid Table 6 Colorful"/>
    <w:basedOn w:val="9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6 Colorful - Accent 1"/>
    <w:basedOn w:val="9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1">
    <w:name w:val="Grid Table 6 Colorful - Accent 2"/>
    <w:basedOn w:val="9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2">
    <w:name w:val="Grid Table 6 Colorful - Accent 3"/>
    <w:basedOn w:val="9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3">
    <w:name w:val="Grid Table 6 Colorful - Accent 4"/>
    <w:basedOn w:val="9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4">
    <w:name w:val="Grid Table 6 Colorful - Accent 5"/>
    <w:basedOn w:val="9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6 Colorful - Accent 6"/>
    <w:basedOn w:val="9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7 Colorful"/>
    <w:basedOn w:val="9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Grid Table 7 Colorful - Accent 1"/>
    <w:basedOn w:val="9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8">
    <w:name w:val="Grid Table 7 Colorful - Accent 2"/>
    <w:basedOn w:val="9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7 Colorful - Accent 3"/>
    <w:basedOn w:val="9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7 Colorful - Accent 4"/>
    <w:basedOn w:val="9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7 Colorful - Accent 5"/>
    <w:basedOn w:val="9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2">
    <w:name w:val="Grid Table 7 Colorful - Accent 6"/>
    <w:basedOn w:val="9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3">
    <w:name w:val="List Table 1 Light"/>
    <w:basedOn w:val="9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1 Light - Accent 1"/>
    <w:basedOn w:val="9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5">
    <w:name w:val="List Table 1 Light - Accent 2"/>
    <w:basedOn w:val="9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6">
    <w:name w:val="List Table 1 Light - Accent 3"/>
    <w:basedOn w:val="9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7">
    <w:name w:val="List Table 1 Light - Accent 4"/>
    <w:basedOn w:val="9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8">
    <w:name w:val="List Table 1 Light - Accent 5"/>
    <w:basedOn w:val="9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9">
    <w:name w:val="List Table 1 Light - Accent 6"/>
    <w:basedOn w:val="9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0">
    <w:name w:val="List Table 2"/>
    <w:basedOn w:val="9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2 - Accent 1"/>
    <w:basedOn w:val="9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2">
    <w:name w:val="List Table 2 - Accent 2"/>
    <w:basedOn w:val="9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3">
    <w:name w:val="List Table 2 - Accent 3"/>
    <w:basedOn w:val="9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4">
    <w:name w:val="List Table 2 - Accent 4"/>
    <w:basedOn w:val="9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5">
    <w:name w:val="List Table 2 - Accent 5"/>
    <w:basedOn w:val="9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6">
    <w:name w:val="List Table 2 - Accent 6"/>
    <w:basedOn w:val="9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7">
    <w:name w:val="List Table 3"/>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3 - Accent 1"/>
    <w:basedOn w:val="9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3 - Accent 2"/>
    <w:basedOn w:val="9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0">
    <w:name w:val="List Table 3 - Accent 3"/>
    <w:basedOn w:val="9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1">
    <w:name w:val="List Table 3 - Accent 4"/>
    <w:basedOn w:val="9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2">
    <w:name w:val="List Table 3 - Accent 5"/>
    <w:basedOn w:val="9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3">
    <w:name w:val="List Table 3 - Accent 6"/>
    <w:basedOn w:val="9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4">
    <w:name w:val="List Table 4"/>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4 - Accent 1"/>
    <w:basedOn w:val="9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4 - Accent 2"/>
    <w:basedOn w:val="9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7">
    <w:name w:val="List Table 4 - Accent 3"/>
    <w:basedOn w:val="9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8">
    <w:name w:val="List Table 4 - Accent 4"/>
    <w:basedOn w:val="9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9">
    <w:name w:val="List Table 4 - Accent 5"/>
    <w:basedOn w:val="9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0">
    <w:name w:val="List Table 4 - Accent 6"/>
    <w:basedOn w:val="9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1">
    <w:name w:val="List Table 5 Dark"/>
    <w:basedOn w:val="9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1"/>
    <w:basedOn w:val="9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2"/>
    <w:basedOn w:val="9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3"/>
    <w:basedOn w:val="9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4"/>
    <w:basedOn w:val="9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5"/>
    <w:basedOn w:val="9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6"/>
    <w:basedOn w:val="9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basedOn w:val="9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6 Colorful - Accent 1"/>
    <w:basedOn w:val="9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0">
    <w:name w:val="List Table 6 Colorful - Accent 2"/>
    <w:basedOn w:val="9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1">
    <w:name w:val="List Table 6 Colorful - Accent 3"/>
    <w:basedOn w:val="9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2">
    <w:name w:val="List Table 6 Colorful - Accent 4"/>
    <w:basedOn w:val="9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3">
    <w:name w:val="List Table 6 Colorful - Accent 5"/>
    <w:basedOn w:val="9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4">
    <w:name w:val="List Table 6 Colorful - Accent 6"/>
    <w:basedOn w:val="9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5">
    <w:name w:val="List Table 7 Colorful"/>
    <w:basedOn w:val="9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6">
    <w:name w:val="List Table 7 Colorful - Accent 1"/>
    <w:basedOn w:val="9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7">
    <w:name w:val="List Table 7 Colorful - Accent 2"/>
    <w:basedOn w:val="9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8">
    <w:name w:val="List Table 7 Colorful - Accent 3"/>
    <w:basedOn w:val="9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9">
    <w:name w:val="List Table 7 Colorful - Accent 4"/>
    <w:basedOn w:val="9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0">
    <w:name w:val="List Table 7 Colorful - Accent 5"/>
    <w:basedOn w:val="9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1">
    <w:name w:val="List Table 7 Colorful - Accent 6"/>
    <w:basedOn w:val="9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2">
    <w:name w:val="Lined - Accent"/>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Lined - Accent 1"/>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Lined - Accent 2"/>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Lined - Accent 3"/>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Lined - Accent 4"/>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Lined - Accent 5"/>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Lined - Accent 6"/>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amp; Lined - Accent"/>
    <w:basedOn w:val="9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Bordered &amp; Lined - Accent 1"/>
    <w:basedOn w:val="9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Bordered &amp; Lined - Accent 2"/>
    <w:basedOn w:val="9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Bordered &amp; Lined - Accent 3"/>
    <w:basedOn w:val="9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Bordered &amp; Lined - Accent 4"/>
    <w:basedOn w:val="9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Bordered &amp; Lined - Accent 5"/>
    <w:basedOn w:val="9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Bordered &amp; Lined - Accent 6"/>
    <w:basedOn w:val="9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w:basedOn w:val="9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7">
    <w:name w:val="Bordered - Accent 1"/>
    <w:basedOn w:val="9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8">
    <w:name w:val="Bordered - Accent 2"/>
    <w:basedOn w:val="9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9">
    <w:name w:val="Bordered - Accent 3"/>
    <w:basedOn w:val="9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0">
    <w:name w:val="Bordered - Accent 4"/>
    <w:basedOn w:val="9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1">
    <w:name w:val="Bordered - Accent 5"/>
    <w:basedOn w:val="9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2">
    <w:name w:val="Bordered - Accent 6"/>
    <w:basedOn w:val="9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3">
    <w:name w:val="footnote text"/>
    <w:basedOn w:val="955"/>
    <w:link w:val="944"/>
    <w:uiPriority w:val="99"/>
    <w:semiHidden/>
    <w:unhideWhenUsed/>
    <w:pPr>
      <w:spacing w:after="40" w:line="240" w:lineRule="auto"/>
    </w:pPr>
    <w:rPr>
      <w:sz w:val="18"/>
    </w:rPr>
  </w:style>
  <w:style w:type="character" w:styleId="944">
    <w:name w:val="Footnote Text Char"/>
    <w:link w:val="943"/>
    <w:uiPriority w:val="99"/>
    <w:rPr>
      <w:sz w:val="18"/>
    </w:rPr>
  </w:style>
  <w:style w:type="character" w:styleId="945">
    <w:name w:val="footnote reference"/>
    <w:basedOn w:val="959"/>
    <w:uiPriority w:val="99"/>
    <w:unhideWhenUsed/>
    <w:rPr>
      <w:vertAlign w:val="superscript"/>
    </w:rPr>
  </w:style>
  <w:style w:type="paragraph" w:styleId="946">
    <w:name w:val="endnote text"/>
    <w:basedOn w:val="955"/>
    <w:link w:val="947"/>
    <w:uiPriority w:val="99"/>
    <w:semiHidden/>
    <w:unhideWhenUsed/>
    <w:pPr>
      <w:spacing w:after="0" w:line="240" w:lineRule="auto"/>
    </w:pPr>
    <w:rPr>
      <w:sz w:val="20"/>
    </w:rPr>
  </w:style>
  <w:style w:type="character" w:styleId="947">
    <w:name w:val="Endnote Text Char"/>
    <w:link w:val="946"/>
    <w:uiPriority w:val="99"/>
    <w:rPr>
      <w:sz w:val="20"/>
    </w:rPr>
  </w:style>
  <w:style w:type="character" w:styleId="948">
    <w:name w:val="endnote reference"/>
    <w:basedOn w:val="959"/>
    <w:uiPriority w:val="99"/>
    <w:semiHidden/>
    <w:unhideWhenUsed/>
    <w:rPr>
      <w:vertAlign w:val="superscript"/>
    </w:rPr>
  </w:style>
  <w:style w:type="paragraph" w:styleId="949">
    <w:name w:val="toc 4"/>
    <w:basedOn w:val="955"/>
    <w:next w:val="955"/>
    <w:uiPriority w:val="39"/>
    <w:unhideWhenUsed/>
    <w:pPr>
      <w:ind w:left="850" w:right="0" w:firstLine="0"/>
      <w:spacing w:after="57"/>
    </w:pPr>
  </w:style>
  <w:style w:type="paragraph" w:styleId="950">
    <w:name w:val="toc 5"/>
    <w:basedOn w:val="955"/>
    <w:next w:val="955"/>
    <w:uiPriority w:val="39"/>
    <w:unhideWhenUsed/>
    <w:pPr>
      <w:ind w:left="1134" w:right="0" w:firstLine="0"/>
      <w:spacing w:after="57"/>
    </w:pPr>
  </w:style>
  <w:style w:type="paragraph" w:styleId="951">
    <w:name w:val="toc 6"/>
    <w:basedOn w:val="955"/>
    <w:next w:val="955"/>
    <w:uiPriority w:val="39"/>
    <w:unhideWhenUsed/>
    <w:pPr>
      <w:ind w:left="1417" w:right="0" w:firstLine="0"/>
      <w:spacing w:after="57"/>
    </w:pPr>
  </w:style>
  <w:style w:type="paragraph" w:styleId="952">
    <w:name w:val="toc 8"/>
    <w:basedOn w:val="955"/>
    <w:next w:val="955"/>
    <w:uiPriority w:val="39"/>
    <w:unhideWhenUsed/>
    <w:pPr>
      <w:ind w:left="1984" w:right="0" w:firstLine="0"/>
      <w:spacing w:after="57"/>
    </w:pPr>
  </w:style>
  <w:style w:type="paragraph" w:styleId="953">
    <w:name w:val="TOC Heading"/>
    <w:uiPriority w:val="39"/>
    <w:unhideWhenUsed/>
  </w:style>
  <w:style w:type="paragraph" w:styleId="954">
    <w:name w:val="table of figures"/>
    <w:basedOn w:val="955"/>
    <w:next w:val="955"/>
    <w:uiPriority w:val="99"/>
    <w:unhideWhenUsed/>
    <w:pPr>
      <w:spacing w:after="0" w:afterAutospacing="0"/>
    </w:pPr>
  </w:style>
  <w:style w:type="paragraph" w:styleId="955"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56">
    <w:name w:val="Heading 1"/>
    <w:basedOn w:val="955"/>
    <w:next w:val="955"/>
    <w:uiPriority w:val="9"/>
    <w:qFormat/>
    <w:pPr>
      <w:keepLines/>
      <w:keepNext/>
      <w:spacing w:before="340" w:after="330" w:line="578" w:lineRule="auto"/>
      <w:outlineLvl w:val="0"/>
    </w:pPr>
    <w:rPr>
      <w:b/>
      <w:sz w:val="44"/>
    </w:rPr>
  </w:style>
  <w:style w:type="paragraph" w:styleId="957">
    <w:name w:val="Heading 2"/>
    <w:basedOn w:val="955"/>
    <w:next w:val="955"/>
    <w:link w:val="1010"/>
    <w:uiPriority w:val="9"/>
    <w:qFormat/>
    <w:pPr>
      <w:keepLines/>
      <w:keepNext/>
      <w:spacing w:before="260" w:after="260" w:line="416" w:lineRule="auto"/>
      <w:outlineLvl w:val="1"/>
    </w:pPr>
    <w:rPr>
      <w:rFonts w:ascii="Cambria" w:hAnsi="Cambria" w:eastAsia="宋体"/>
      <w:b/>
      <w:bCs/>
      <w:sz w:val="32"/>
      <w:szCs w:val="32"/>
    </w:rPr>
  </w:style>
  <w:style w:type="paragraph" w:styleId="958">
    <w:name w:val="Heading 3"/>
    <w:basedOn w:val="955"/>
    <w:next w:val="955"/>
    <w:link w:val="1011"/>
    <w:uiPriority w:val="0"/>
    <w:qFormat/>
    <w:pPr>
      <w:keepLines/>
      <w:keepNext/>
      <w:spacing w:before="260" w:after="260" w:line="416" w:lineRule="auto"/>
      <w:outlineLvl w:val="2"/>
    </w:pPr>
    <w:rPr>
      <w:b/>
      <w:bCs/>
      <w:sz w:val="32"/>
      <w:szCs w:val="32"/>
    </w:rPr>
  </w:style>
  <w:style w:type="character" w:styleId="959" w:default="1">
    <w:name w:val="Default Paragraph Font"/>
    <w:uiPriority w:val="1"/>
    <w:semiHidden/>
    <w:unhideWhenUsed/>
    <w:qFormat/>
  </w:style>
  <w:style w:type="table" w:styleId="960" w:default="1">
    <w:name w:val="Normal Table"/>
    <w:uiPriority w:val="99"/>
    <w:semiHidden/>
    <w:unhideWhenUsed/>
    <w:qFormat/>
    <w:tblPr>
      <w:tblCellMar>
        <w:left w:w="108" w:type="dxa"/>
        <w:top w:w="0" w:type="dxa"/>
        <w:right w:w="108" w:type="dxa"/>
        <w:bottom w:w="0" w:type="dxa"/>
      </w:tblCellMar>
    </w:tblPr>
  </w:style>
  <w:style w:type="paragraph" w:styleId="961">
    <w:name w:val="toc 7"/>
    <w:next w:val="955"/>
    <w:uiPriority w:val="0"/>
    <w:qFormat/>
    <w:pPr>
      <w:ind w:left="2125"/>
      <w:jc w:val="both"/>
    </w:pPr>
    <w:rPr>
      <w:rFonts w:ascii="Times New Roman" w:hAnsi="Times New Roman" w:eastAsia="宋体" w:cs="Times New Roman"/>
      <w:sz w:val="21"/>
      <w:lang w:val="en-US" w:eastAsia="zh-CN" w:bidi="ar-SA"/>
    </w:rPr>
  </w:style>
  <w:style w:type="paragraph" w:styleId="962">
    <w:name w:val="Normal Indent"/>
    <w:basedOn w:val="955"/>
    <w:next w:val="955"/>
    <w:link w:val="1012"/>
    <w:uiPriority w:val="0"/>
    <w:unhideWhenUsed/>
    <w:qFormat/>
    <w:pPr>
      <w:ind w:firstLine="420"/>
      <w:jc w:val="left"/>
    </w:pPr>
    <w:rPr>
      <w:sz w:val="24"/>
    </w:rPr>
  </w:style>
  <w:style w:type="paragraph" w:styleId="963">
    <w:name w:val="List Bullet"/>
    <w:basedOn w:val="956"/>
    <w:next w:val="955"/>
    <w:uiPriority w:val="99"/>
    <w:unhideWhenUsed/>
    <w:qFormat/>
    <w:pPr>
      <w:numPr>
        <w:ilvl w:val="0"/>
        <w:numId w:val="1"/>
      </w:numPr>
    </w:pPr>
  </w:style>
  <w:style w:type="paragraph" w:styleId="964">
    <w:name w:val="Document Map"/>
    <w:basedOn w:val="955"/>
    <w:link w:val="1013"/>
    <w:uiPriority w:val="99"/>
    <w:unhideWhenUsed/>
    <w:qFormat/>
    <w:rPr>
      <w:rFonts w:ascii="宋体" w:eastAsia="宋体"/>
      <w:sz w:val="18"/>
      <w:szCs w:val="18"/>
    </w:rPr>
  </w:style>
  <w:style w:type="paragraph" w:styleId="965">
    <w:name w:val="annotation text"/>
    <w:basedOn w:val="955"/>
    <w:link w:val="1014"/>
    <w:uiPriority w:val="0"/>
    <w:qFormat/>
    <w:pPr>
      <w:jc w:val="left"/>
    </w:pPr>
    <w:rPr>
      <w:rFonts w:eastAsia="宋体"/>
      <w:b/>
      <w:sz w:val="24"/>
    </w:rPr>
  </w:style>
  <w:style w:type="paragraph" w:styleId="966">
    <w:name w:val="Body Text 3"/>
    <w:basedOn w:val="955"/>
    <w:uiPriority w:val="99"/>
    <w:unhideWhenUsed/>
    <w:qFormat/>
    <w:pPr>
      <w:jc w:val="center"/>
    </w:pPr>
    <w:rPr>
      <w:rFonts w:ascii="宋体" w:hAnsi="宋体"/>
    </w:rPr>
  </w:style>
  <w:style w:type="paragraph" w:styleId="967">
    <w:name w:val="Body Text"/>
    <w:basedOn w:val="955"/>
    <w:next w:val="955"/>
    <w:uiPriority w:val="99"/>
    <w:unhideWhenUsed/>
    <w:qFormat/>
    <w:rPr>
      <w:rFonts w:ascii="楷体_GB2312"/>
      <w:b/>
      <w:bCs/>
      <w:sz w:val="28"/>
    </w:rPr>
  </w:style>
  <w:style w:type="paragraph" w:styleId="968">
    <w:name w:val="Body Text Indent"/>
    <w:basedOn w:val="955"/>
    <w:link w:val="1015"/>
    <w:uiPriority w:val="99"/>
    <w:unhideWhenUsed/>
    <w:qFormat/>
    <w:pPr>
      <w:ind w:firstLine="570"/>
    </w:pPr>
    <w:rPr>
      <w:rFonts w:ascii="宋体" w:eastAsia="宋体"/>
      <w:sz w:val="28"/>
    </w:rPr>
  </w:style>
  <w:style w:type="paragraph" w:styleId="969">
    <w:name w:val="List Number 3"/>
    <w:basedOn w:val="956"/>
    <w:next w:val="955"/>
    <w:uiPriority w:val="99"/>
    <w:unhideWhenUsed/>
    <w:qFormat/>
    <w:pPr>
      <w:numPr>
        <w:ilvl w:val="0"/>
        <w:numId w:val="2"/>
      </w:numPr>
    </w:pPr>
  </w:style>
  <w:style w:type="paragraph" w:styleId="970">
    <w:name w:val="Block Text"/>
    <w:basedOn w:val="955"/>
    <w:uiPriority w:val="0"/>
    <w:qFormat/>
    <w:pPr>
      <w:ind w:left="630" w:right="-609" w:firstLine="420"/>
      <w:spacing w:line="360" w:lineRule="auto"/>
    </w:pPr>
    <w:rPr>
      <w:rFonts w:hint="eastAsia" w:ascii="仿宋_GB2312" w:eastAsia="仿宋_GB2312"/>
      <w:szCs w:val="20"/>
    </w:rPr>
  </w:style>
  <w:style w:type="paragraph" w:styleId="971">
    <w:name w:val="toc 3"/>
    <w:basedOn w:val="955"/>
    <w:next w:val="955"/>
    <w:uiPriority w:val="39"/>
    <w:unhideWhenUsed/>
    <w:qFormat/>
    <w:pPr>
      <w:ind w:left="840"/>
    </w:pPr>
  </w:style>
  <w:style w:type="paragraph" w:styleId="972">
    <w:name w:val="Plain Text"/>
    <w:basedOn w:val="955"/>
    <w:link w:val="1016"/>
    <w:uiPriority w:val="0"/>
    <w:unhideWhenUsed/>
    <w:qFormat/>
    <w:rPr>
      <w:rFonts w:ascii="宋体" w:hAnsi="Courier New"/>
    </w:rPr>
  </w:style>
  <w:style w:type="paragraph" w:styleId="973">
    <w:name w:val="List Bullet 5"/>
    <w:basedOn w:val="956"/>
    <w:next w:val="974"/>
    <w:uiPriority w:val="99"/>
    <w:unhideWhenUsed/>
    <w:qFormat/>
    <w:pPr>
      <w:numPr>
        <w:ilvl w:val="0"/>
        <w:numId w:val="3"/>
      </w:numPr>
    </w:pPr>
  </w:style>
  <w:style w:type="paragraph" w:styleId="974" w:customStyle="1">
    <w:name w:val="正文首行缩进1"/>
    <w:next w:val="969"/>
    <w:uiPriority w:val="0"/>
    <w:qFormat/>
    <w:pPr>
      <w:ind w:left="420" w:firstLine="2724"/>
      <w:spacing w:after="120" w:line="360" w:lineRule="auto"/>
    </w:pPr>
    <w:rPr>
      <w:rFonts w:ascii="Calibri" w:hAnsi="Calibri" w:eastAsia="宋体" w:cs="宋体"/>
      <w:sz w:val="21"/>
      <w:szCs w:val="22"/>
      <w:lang w:val="en-US" w:eastAsia="zh-CN" w:bidi="ar-SA"/>
    </w:rPr>
  </w:style>
  <w:style w:type="paragraph" w:styleId="975">
    <w:name w:val="Date"/>
    <w:basedOn w:val="955"/>
    <w:next w:val="955"/>
    <w:uiPriority w:val="99"/>
    <w:unhideWhenUsed/>
    <w:qFormat/>
    <w:rPr>
      <w:rFonts w:ascii="宋体" w:hAnsi="宋体"/>
      <w:sz w:val="24"/>
    </w:rPr>
  </w:style>
  <w:style w:type="paragraph" w:styleId="976">
    <w:name w:val="Body Text Indent 2"/>
    <w:basedOn w:val="955"/>
    <w:link w:val="1017"/>
    <w:uiPriority w:val="99"/>
    <w:unhideWhenUsed/>
    <w:qFormat/>
    <w:pPr>
      <w:ind w:left="420"/>
      <w:spacing w:after="120" w:line="480" w:lineRule="auto"/>
    </w:pPr>
  </w:style>
  <w:style w:type="paragraph" w:styleId="977">
    <w:name w:val="Balloon Text"/>
    <w:basedOn w:val="955"/>
    <w:next w:val="978"/>
    <w:link w:val="1018"/>
    <w:uiPriority w:val="0"/>
    <w:qFormat/>
    <w:rPr>
      <w:sz w:val="18"/>
      <w:szCs w:val="18"/>
    </w:rPr>
  </w:style>
  <w:style w:type="paragraph" w:styleId="978" w:customStyle="1">
    <w:name w:val="正文缩进1"/>
    <w:next w:val="955"/>
    <w:uiPriority w:val="0"/>
    <w:qFormat/>
    <w:pPr>
      <w:ind w:left="3400"/>
      <w:jc w:val="both"/>
    </w:pPr>
    <w:rPr>
      <w:rFonts w:ascii="Times New Roman" w:hAnsi="Times New Roman" w:eastAsia="宋体" w:cs="Times New Roman"/>
      <w:sz w:val="21"/>
      <w:lang w:val="en-US" w:eastAsia="zh-CN" w:bidi="ar-SA"/>
    </w:rPr>
  </w:style>
  <w:style w:type="paragraph" w:styleId="979">
    <w:name w:val="Footer"/>
    <w:basedOn w:val="955"/>
    <w:link w:val="1019"/>
    <w:uiPriority w:val="99"/>
    <w:unhideWhenUsed/>
    <w:qFormat/>
    <w:pPr>
      <w:jc w:val="left"/>
      <w:tabs>
        <w:tab w:val="center" w:pos="4153" w:leader="none"/>
        <w:tab w:val="right" w:pos="8306" w:leader="none"/>
      </w:tabs>
    </w:pPr>
    <w:rPr>
      <w:sz w:val="18"/>
    </w:rPr>
  </w:style>
  <w:style w:type="paragraph" w:styleId="980">
    <w:name w:val="envelope return"/>
    <w:basedOn w:val="955"/>
    <w:uiPriority w:val="0"/>
    <w:qFormat/>
    <w:rPr>
      <w:rFonts w:ascii="Arial" w:hAnsi="Arial"/>
    </w:rPr>
  </w:style>
  <w:style w:type="paragraph" w:styleId="981">
    <w:name w:val="Header"/>
    <w:basedOn w:val="955"/>
    <w:link w:val="1020"/>
    <w:uiPriority w:val="99"/>
    <w:unhideWhenUsed/>
    <w:qFormat/>
    <w:pPr>
      <w:jc w:val="center"/>
      <w:tabs>
        <w:tab w:val="center" w:pos="4153" w:leader="none"/>
        <w:tab w:val="right" w:pos="8306" w:leader="none"/>
      </w:tabs>
      <w:pBdr>
        <w:bottom w:val="none" w:color="auto" w:sz="0" w:space="1"/>
      </w:pBdr>
    </w:pPr>
    <w:rPr>
      <w:sz w:val="18"/>
    </w:rPr>
  </w:style>
  <w:style w:type="paragraph" w:styleId="982">
    <w:name w:val="toc 1"/>
    <w:basedOn w:val="955"/>
    <w:next w:val="955"/>
    <w:uiPriority w:val="39"/>
    <w:unhideWhenUsed/>
    <w:qFormat/>
    <w:pPr>
      <w:jc w:val="left"/>
    </w:pPr>
    <w:rPr>
      <w:sz w:val="24"/>
    </w:rPr>
  </w:style>
  <w:style w:type="paragraph" w:styleId="983">
    <w:name w:val="Subtitle"/>
    <w:basedOn w:val="955"/>
    <w:link w:val="1021"/>
    <w:uiPriority w:val="0"/>
    <w:qFormat/>
    <w:pPr>
      <w:jc w:val="center"/>
      <w:spacing w:before="240" w:after="60" w:line="312" w:lineRule="auto"/>
      <w:outlineLvl w:val="1"/>
    </w:pPr>
    <w:rPr>
      <w:rFonts w:ascii="Arial" w:hAnsi="Arial" w:eastAsia="宋体"/>
      <w:b/>
      <w:bCs/>
      <w:sz w:val="32"/>
      <w:szCs w:val="32"/>
    </w:rPr>
  </w:style>
  <w:style w:type="paragraph" w:styleId="984">
    <w:name w:val="Body Text Indent 3"/>
    <w:basedOn w:val="955"/>
    <w:uiPriority w:val="99"/>
    <w:unhideWhenUsed/>
    <w:qFormat/>
    <w:pPr>
      <w:ind w:left="420"/>
      <w:jc w:val="left"/>
      <w:spacing w:after="120"/>
      <w:widowControl/>
    </w:pPr>
    <w:rPr>
      <w:rFonts w:eastAsia="宋体"/>
      <w:sz w:val="16"/>
      <w:szCs w:val="16"/>
    </w:rPr>
  </w:style>
  <w:style w:type="paragraph" w:styleId="985">
    <w:name w:val="toc 2"/>
    <w:basedOn w:val="955"/>
    <w:next w:val="955"/>
    <w:uiPriority w:val="39"/>
    <w:unhideWhenUsed/>
    <w:qFormat/>
    <w:pPr>
      <w:ind w:left="420"/>
    </w:pPr>
  </w:style>
  <w:style w:type="paragraph" w:styleId="986">
    <w:name w:val="toc 9"/>
    <w:basedOn w:val="955"/>
    <w:next w:val="955"/>
    <w:uiPriority w:val="0"/>
    <w:semiHidden/>
    <w:qFormat/>
    <w:pPr>
      <w:ind w:left="3360"/>
    </w:pPr>
  </w:style>
  <w:style w:type="paragraph" w:styleId="987">
    <w:name w:val="Body Text 2"/>
    <w:basedOn w:val="955"/>
    <w:uiPriority w:val="0"/>
    <w:qFormat/>
    <w:pPr>
      <w:ind w:firstLine="1024"/>
      <w:spacing w:before="0" w:after="120" w:line="480" w:lineRule="auto"/>
    </w:pPr>
  </w:style>
  <w:style w:type="paragraph" w:styleId="988">
    <w:name w:val="Normal (Web)"/>
    <w:basedOn w:val="955"/>
    <w:uiPriority w:val="0"/>
    <w:unhideWhenUsed/>
    <w:qFormat/>
    <w:pPr>
      <w:jc w:val="left"/>
      <w:spacing w:before="100" w:beforeAutospacing="1" w:after="100" w:afterAutospacing="1"/>
      <w:widowControl/>
    </w:pPr>
    <w:rPr>
      <w:rFonts w:ascii="宋体" w:hAnsi="宋体" w:cs="宋体"/>
      <w:sz w:val="24"/>
    </w:rPr>
  </w:style>
  <w:style w:type="paragraph" w:styleId="989">
    <w:name w:val="index 1"/>
    <w:basedOn w:val="955"/>
    <w:next w:val="955"/>
    <w:uiPriority w:val="0"/>
    <w:semiHidden/>
    <w:qFormat/>
  </w:style>
  <w:style w:type="paragraph" w:styleId="990">
    <w:name w:val="annotation subject"/>
    <w:basedOn w:val="965"/>
    <w:next w:val="965"/>
    <w:uiPriority w:val="0"/>
    <w:semiHidden/>
    <w:qFormat/>
    <w:rPr>
      <w:bCs/>
    </w:rPr>
  </w:style>
  <w:style w:type="paragraph" w:styleId="991">
    <w:name w:val="Body Text First Indent"/>
    <w:basedOn w:val="967"/>
    <w:next w:val="955"/>
    <w:uiPriority w:val="99"/>
    <w:unhideWhenUsed/>
    <w:qFormat/>
    <w:pPr>
      <w:ind w:firstLine="420"/>
    </w:pPr>
  </w:style>
  <w:style w:type="paragraph" w:styleId="992">
    <w:name w:val="Body Text First Indent 2"/>
    <w:basedOn w:val="968"/>
    <w:link w:val="1022"/>
    <w:uiPriority w:val="99"/>
    <w:unhideWhenUsed/>
    <w:qFormat/>
    <w:pPr>
      <w:ind w:left="420" w:firstLine="420"/>
      <w:spacing w:after="120"/>
    </w:pPr>
  </w:style>
  <w:style w:type="table" w:styleId="993">
    <w:name w:val="Table Grid"/>
    <w:basedOn w:val="960"/>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4">
    <w:name w:val="Strong"/>
    <w:uiPriority w:val="22"/>
    <w:qFormat/>
    <w:rPr>
      <w:b/>
      <w:bCs/>
    </w:rPr>
  </w:style>
  <w:style w:type="character" w:styleId="995">
    <w:name w:val="page number"/>
    <w:uiPriority w:val="0"/>
    <w:unhideWhenUsed/>
    <w:qFormat/>
  </w:style>
  <w:style w:type="character" w:styleId="996">
    <w:name w:val="FollowedHyperlink"/>
    <w:uiPriority w:val="99"/>
    <w:unhideWhenUsed/>
    <w:qFormat/>
    <w:rPr>
      <w:color w:val="07519a"/>
      <w:u w:val="none"/>
    </w:rPr>
  </w:style>
  <w:style w:type="character" w:styleId="997">
    <w:name w:val="Emphasis"/>
    <w:uiPriority w:val="20"/>
    <w:qFormat/>
  </w:style>
  <w:style w:type="character" w:styleId="998">
    <w:name w:val="HTML Definition"/>
    <w:uiPriority w:val="99"/>
    <w:unhideWhenUsed/>
    <w:qFormat/>
  </w:style>
  <w:style w:type="character" w:styleId="999">
    <w:name w:val="HTML Variable"/>
    <w:uiPriority w:val="99"/>
    <w:unhideWhenUsed/>
    <w:qFormat/>
    <w:rPr>
      <w:color w:val="666666"/>
      <w:sz w:val="18"/>
      <w:szCs w:val="18"/>
      <w:shd w:val="clear" w:color="auto" w:fill="ffffff"/>
    </w:rPr>
  </w:style>
  <w:style w:type="character" w:styleId="1000">
    <w:name w:val="Hyperlink"/>
    <w:uiPriority w:val="99"/>
    <w:unhideWhenUsed/>
    <w:qFormat/>
    <w:rPr>
      <w:color w:val="07519a"/>
      <w:u w:val="none"/>
    </w:rPr>
  </w:style>
  <w:style w:type="character" w:styleId="1001">
    <w:name w:val="HTML Code"/>
    <w:uiPriority w:val="99"/>
    <w:unhideWhenUsed/>
    <w:qFormat/>
    <w:rPr>
      <w:rFonts w:hint="default" w:ascii="serif" w:hAnsi="serif" w:eastAsia="serif" w:cs="serif"/>
      <w:sz w:val="21"/>
      <w:szCs w:val="21"/>
    </w:rPr>
  </w:style>
  <w:style w:type="character" w:styleId="1002">
    <w:name w:val="annotation reference"/>
    <w:uiPriority w:val="0"/>
    <w:qFormat/>
    <w:rPr>
      <w:sz w:val="21"/>
      <w:szCs w:val="21"/>
    </w:rPr>
  </w:style>
  <w:style w:type="character" w:styleId="1003">
    <w:name w:val="HTML Cite"/>
    <w:uiPriority w:val="99"/>
    <w:unhideWhenUsed/>
    <w:qFormat/>
  </w:style>
  <w:style w:type="character" w:styleId="1004">
    <w:name w:val="HTML Keyboard"/>
    <w:uiPriority w:val="99"/>
    <w:unhideWhenUsed/>
    <w:qFormat/>
    <w:rPr>
      <w:rFonts w:ascii="serif" w:hAnsi="serif" w:eastAsia="serif" w:cs="serif"/>
      <w:sz w:val="21"/>
      <w:szCs w:val="21"/>
    </w:rPr>
  </w:style>
  <w:style w:type="character" w:styleId="1005">
    <w:name w:val="HTML Sample"/>
    <w:uiPriority w:val="99"/>
    <w:unhideWhenUsed/>
    <w:qFormat/>
    <w:rPr>
      <w:rFonts w:hint="default" w:ascii="serif" w:hAnsi="serif" w:eastAsia="serif" w:cs="serif"/>
      <w:sz w:val="21"/>
      <w:szCs w:val="21"/>
    </w:rPr>
  </w:style>
  <w:style w:type="paragraph" w:styleId="1006" w:customStyle="1">
    <w:name w:val="正文2"/>
    <w:basedOn w:val="955"/>
    <w:next w:val="955"/>
    <w:uiPriority w:val="0"/>
    <w:qFormat/>
    <w:pPr>
      <w:ind w:hanging="2155"/>
      <w:spacing w:line="360" w:lineRule="auto"/>
      <w:shd w:val="clear" w:color="auto" w:fill="ffffff"/>
    </w:pPr>
    <w:rPr>
      <w:rFonts w:ascii="宋体" w:hAnsi="宋体"/>
    </w:rPr>
  </w:style>
  <w:style w:type="paragraph" w:styleId="1007" w:customStyle="1">
    <w:name w:val="首行缩进"/>
    <w:basedOn w:val="955"/>
    <w:uiPriority w:val="0"/>
    <w:qFormat/>
    <w:pPr>
      <w:ind w:firstLine="480"/>
    </w:pPr>
    <w:rPr>
      <w:lang w:val="zh-CN"/>
    </w:rPr>
  </w:style>
  <w:style w:type="paragraph" w:styleId="1008" w:customStyle="1">
    <w:name w:val="列出段落1"/>
    <w:basedOn w:val="955"/>
    <w:uiPriority w:val="34"/>
    <w:qFormat/>
    <w:pPr>
      <w:ind w:firstLine="420"/>
    </w:pPr>
    <w:rPr>
      <w:rFonts w:ascii="Calibri" w:hAnsi="Calibri" w:eastAsia="宋体"/>
    </w:rPr>
  </w:style>
  <w:style w:type="paragraph" w:styleId="1009" w:customStyle="1">
    <w:name w:val="目录 51"/>
    <w:next w:val="955"/>
    <w:uiPriority w:val="0"/>
    <w:qFormat/>
    <w:pPr>
      <w:ind w:left="1275"/>
      <w:jc w:val="both"/>
    </w:pPr>
    <w:rPr>
      <w:rFonts w:ascii="Times New Roman" w:hAnsi="Times New Roman" w:eastAsia="宋体" w:cs="Times New Roman"/>
      <w:sz w:val="21"/>
      <w:lang w:val="en-US" w:eastAsia="zh-CN" w:bidi="ar-SA"/>
    </w:rPr>
  </w:style>
  <w:style w:type="character" w:styleId="1010" w:customStyle="1">
    <w:name w:val="标题 2 Char"/>
    <w:link w:val="957"/>
    <w:uiPriority w:val="9"/>
    <w:qFormat/>
    <w:rPr>
      <w:rFonts w:ascii="Cambria" w:hAnsi="Cambria" w:eastAsia="宋体" w:cs="Times New Roman"/>
      <w:b/>
      <w:bCs/>
      <w:sz w:val="32"/>
      <w:szCs w:val="32"/>
    </w:rPr>
  </w:style>
  <w:style w:type="character" w:styleId="1011" w:customStyle="1">
    <w:name w:val="标题 3 Char"/>
    <w:link w:val="958"/>
    <w:uiPriority w:val="0"/>
    <w:qFormat/>
    <w:rPr>
      <w:rFonts w:eastAsia="楷体_GB2312"/>
      <w:b/>
      <w:bCs/>
      <w:sz w:val="32"/>
      <w:szCs w:val="32"/>
    </w:rPr>
  </w:style>
  <w:style w:type="character" w:styleId="1012" w:customStyle="1">
    <w:name w:val="正文缩进 Char"/>
    <w:link w:val="962"/>
    <w:uiPriority w:val="0"/>
    <w:qFormat/>
    <w:rPr>
      <w:rFonts w:eastAsia="楷体_GB2312"/>
      <w:sz w:val="24"/>
    </w:rPr>
  </w:style>
  <w:style w:type="character" w:styleId="1013" w:customStyle="1">
    <w:name w:val="文档结构图 Char"/>
    <w:link w:val="964"/>
    <w:uiPriority w:val="99"/>
    <w:semiHidden/>
    <w:qFormat/>
    <w:rPr>
      <w:rFonts w:ascii="宋体"/>
      <w:sz w:val="18"/>
      <w:szCs w:val="18"/>
    </w:rPr>
  </w:style>
  <w:style w:type="character" w:styleId="1014" w:customStyle="1">
    <w:name w:val="批注文字 Char"/>
    <w:link w:val="965"/>
    <w:uiPriority w:val="0"/>
    <w:semiHidden/>
    <w:qFormat/>
    <w:rPr>
      <w:rFonts w:eastAsia="宋体"/>
      <w:b/>
      <w:sz w:val="24"/>
    </w:rPr>
  </w:style>
  <w:style w:type="character" w:styleId="1015" w:customStyle="1">
    <w:name w:val="正文文本缩进 Char"/>
    <w:link w:val="968"/>
    <w:uiPriority w:val="99"/>
    <w:qFormat/>
    <w:rPr>
      <w:rFonts w:ascii="宋体"/>
      <w:sz w:val="28"/>
    </w:rPr>
  </w:style>
  <w:style w:type="character" w:styleId="1016" w:customStyle="1">
    <w:name w:val="纯文本 Char"/>
    <w:link w:val="972"/>
    <w:uiPriority w:val="0"/>
    <w:qFormat/>
    <w:rPr>
      <w:rFonts w:ascii="宋体" w:hAnsi="Courier New" w:eastAsia="楷体_GB2312"/>
      <w:sz w:val="26"/>
    </w:rPr>
  </w:style>
  <w:style w:type="character" w:styleId="1017" w:customStyle="1">
    <w:name w:val="正文文本缩进 2 Char"/>
    <w:link w:val="976"/>
    <w:uiPriority w:val="99"/>
    <w:semiHidden/>
    <w:qFormat/>
    <w:rPr>
      <w:rFonts w:eastAsia="楷体_GB2312"/>
      <w:sz w:val="26"/>
    </w:rPr>
  </w:style>
  <w:style w:type="character" w:styleId="1018" w:customStyle="1">
    <w:name w:val="批注框文本 Char"/>
    <w:link w:val="977"/>
    <w:uiPriority w:val="0"/>
    <w:qFormat/>
    <w:rPr>
      <w:rFonts w:eastAsia="楷体_GB2312"/>
      <w:sz w:val="18"/>
      <w:szCs w:val="18"/>
    </w:rPr>
  </w:style>
  <w:style w:type="character" w:styleId="1019" w:customStyle="1">
    <w:name w:val="页脚 Char"/>
    <w:link w:val="979"/>
    <w:uiPriority w:val="99"/>
    <w:qFormat/>
    <w:rPr>
      <w:rFonts w:eastAsia="楷体_GB2312"/>
      <w:sz w:val="18"/>
    </w:rPr>
  </w:style>
  <w:style w:type="character" w:styleId="1020" w:customStyle="1">
    <w:name w:val="页眉 Char"/>
    <w:link w:val="981"/>
    <w:uiPriority w:val="99"/>
    <w:qFormat/>
    <w:rPr>
      <w:rFonts w:eastAsia="楷体_GB2312"/>
      <w:sz w:val="18"/>
    </w:rPr>
  </w:style>
  <w:style w:type="character" w:styleId="1021" w:customStyle="1">
    <w:name w:val="副标题 Char"/>
    <w:link w:val="983"/>
    <w:uiPriority w:val="0"/>
    <w:qFormat/>
    <w:rPr>
      <w:rFonts w:ascii="Arial" w:hAnsi="Arial" w:cs="Arial"/>
      <w:b/>
      <w:bCs/>
      <w:sz w:val="32"/>
      <w:szCs w:val="32"/>
    </w:rPr>
  </w:style>
  <w:style w:type="character" w:styleId="1022" w:customStyle="1">
    <w:name w:val="正文首行缩进 2 Char"/>
    <w:link w:val="992"/>
    <w:uiPriority w:val="99"/>
    <w:qFormat/>
  </w:style>
  <w:style w:type="paragraph" w:styleId="1023" w:customStyle="1">
    <w:name w:val="正文文本1"/>
    <w:basedOn w:val="955"/>
    <w:uiPriority w:val="99"/>
    <w:unhideWhenUsed/>
    <w:qFormat/>
    <w:rPr>
      <w:rFonts w:ascii="楷体_GB2312"/>
      <w:b/>
      <w:bCs/>
      <w:sz w:val="28"/>
    </w:rPr>
  </w:style>
  <w:style w:type="paragraph" w:styleId="1024" w:customStyle="1">
    <w:name w:val="Char Char Char Char Char Char Char Char Char Char Char Char Char"/>
    <w:basedOn w:val="956"/>
    <w:next w:val="955"/>
    <w:uiPriority w:val="0"/>
    <w:qFormat/>
    <w:pPr>
      <w:ind w:firstLine="3584"/>
      <w:spacing w:before="0" w:after="160" w:line="240" w:lineRule="exact"/>
    </w:pPr>
  </w:style>
  <w:style w:type="character" w:styleId="1025" w:customStyle="1">
    <w:name w:val="font61"/>
    <w:uiPriority w:val="0"/>
    <w:qFormat/>
    <w:rPr>
      <w:rFonts w:hint="eastAsia" w:ascii="宋体" w:hAnsi="宋体" w:eastAsia="宋体" w:cs="宋体"/>
      <w:b/>
      <w:color w:val="000000"/>
      <w:sz w:val="20"/>
      <w:szCs w:val="20"/>
      <w:u w:val="none"/>
    </w:rPr>
  </w:style>
  <w:style w:type="character" w:styleId="1026" w:customStyle="1">
    <w:name w:val="bds_nopic2"/>
    <w:uiPriority w:val="0"/>
    <w:qFormat/>
  </w:style>
  <w:style w:type="character" w:styleId="1027" w:customStyle="1">
    <w:name w:val="font41"/>
    <w:uiPriority w:val="0"/>
    <w:qFormat/>
    <w:rPr>
      <w:rFonts w:hint="eastAsia" w:ascii="宋体" w:hAnsi="宋体" w:eastAsia="宋体" w:cs="宋体"/>
      <w:b/>
      <w:color w:val="000000"/>
      <w:sz w:val="24"/>
      <w:szCs w:val="24"/>
      <w:u w:val="none"/>
    </w:rPr>
  </w:style>
  <w:style w:type="character" w:styleId="1028" w:customStyle="1">
    <w:name w:val="正文文本缩进 字符"/>
    <w:uiPriority w:val="99"/>
    <w:qFormat/>
    <w:rPr>
      <w:rFonts w:ascii="宋体"/>
      <w:sz w:val="28"/>
    </w:rPr>
  </w:style>
  <w:style w:type="character" w:styleId="1029" w:customStyle="1">
    <w:name w:val="bds_more"/>
    <w:uiPriority w:val="0"/>
    <w:qFormat/>
  </w:style>
  <w:style w:type="character" w:styleId="1030" w:customStyle="1">
    <w:name w:val="fontstrikethrough"/>
    <w:uiPriority w:val="0"/>
    <w:qFormat/>
    <w:rPr>
      <w:strike/>
    </w:rPr>
  </w:style>
  <w:style w:type="character" w:styleId="1031" w:customStyle="1">
    <w:name w:val="font01"/>
    <w:uiPriority w:val="0"/>
    <w:qFormat/>
    <w:rPr>
      <w:rFonts w:hint="eastAsia" w:ascii="宋体" w:hAnsi="宋体" w:eastAsia="宋体" w:cs="宋体"/>
      <w:color w:val="000000"/>
      <w:sz w:val="20"/>
      <w:szCs w:val="20"/>
      <w:u w:val="none"/>
    </w:rPr>
  </w:style>
  <w:style w:type="character" w:styleId="1032" w:customStyle="1">
    <w:name w:val="bds_more1"/>
    <w:uiPriority w:val="0"/>
    <w:qFormat/>
    <w:rPr>
      <w:rFonts w:hint="eastAsia" w:ascii="宋体" w:hAnsi="宋体" w:eastAsia="宋体" w:cs="宋体"/>
    </w:rPr>
  </w:style>
  <w:style w:type="character" w:styleId="1033" w:customStyle="1">
    <w:name w:val="font81"/>
    <w:uiPriority w:val="0"/>
    <w:qFormat/>
    <w:rPr>
      <w:rFonts w:ascii="宋体" w:hAnsi="宋体" w:eastAsia="宋体" w:cs="宋体"/>
      <w:b/>
      <w:color w:val="000000"/>
      <w:sz w:val="24"/>
      <w:szCs w:val="24"/>
      <w:u w:val="none"/>
    </w:rPr>
  </w:style>
  <w:style w:type="character" w:styleId="1034" w:customStyle="1">
    <w:name w:val="font11"/>
    <w:uiPriority w:val="0"/>
    <w:qFormat/>
    <w:rPr>
      <w:rFonts w:hint="eastAsia" w:ascii="宋体" w:hAnsi="宋体" w:eastAsia="宋体" w:cs="宋体"/>
      <w:b/>
      <w:color w:val="000000"/>
      <w:sz w:val="20"/>
      <w:szCs w:val="20"/>
      <w:u w:val="none"/>
    </w:rPr>
  </w:style>
  <w:style w:type="character" w:styleId="1035" w:customStyle="1">
    <w:name w:val="font21"/>
    <w:uiPriority w:val="0"/>
    <w:qFormat/>
    <w:rPr>
      <w:rFonts w:hint="default" w:ascii="Arial" w:hAnsi="Arial" w:cs="Arial"/>
      <w:color w:val="000000"/>
      <w:sz w:val="20"/>
      <w:szCs w:val="20"/>
      <w:u w:val="none"/>
    </w:rPr>
  </w:style>
  <w:style w:type="character" w:styleId="1036" w:customStyle="1">
    <w:name w:val="Plain Text Char1"/>
    <w:link w:val="1037"/>
    <w:uiPriority w:val="0"/>
    <w:qFormat/>
    <w:rPr>
      <w:rFonts w:ascii="宋体" w:hAnsi="Courier New" w:eastAsia="楷体_GB2312"/>
      <w:sz w:val="26"/>
    </w:rPr>
  </w:style>
  <w:style w:type="paragraph" w:styleId="1037" w:customStyle="1">
    <w:name w:val="纯文本1"/>
    <w:basedOn w:val="955"/>
    <w:link w:val="1036"/>
    <w:uiPriority w:val="0"/>
    <w:qFormat/>
    <w:rPr>
      <w:rFonts w:ascii="宋体" w:hAnsi="Courier New"/>
    </w:rPr>
  </w:style>
  <w:style w:type="character" w:styleId="1038" w:customStyle="1">
    <w:name w:val="font71"/>
    <w:uiPriority w:val="0"/>
    <w:qFormat/>
    <w:rPr>
      <w:rFonts w:ascii="宋体" w:hAnsi="宋体" w:eastAsia="宋体" w:cs="宋体"/>
      <w:b/>
      <w:color w:val="000000"/>
      <w:sz w:val="24"/>
      <w:szCs w:val="24"/>
      <w:u w:val="none"/>
    </w:rPr>
  </w:style>
  <w:style w:type="character" w:styleId="1039" w:customStyle="1">
    <w:name w:val="_正文段落 Char"/>
    <w:link w:val="1040"/>
    <w:uiPriority w:val="0"/>
    <w:qFormat/>
    <w:rPr>
      <w:rFonts w:ascii="宋体" w:hAnsi="宋体"/>
      <w:sz w:val="24"/>
      <w:szCs w:val="24"/>
    </w:rPr>
  </w:style>
  <w:style w:type="paragraph" w:styleId="1040" w:customStyle="1">
    <w:name w:val="_正文段落"/>
    <w:basedOn w:val="955"/>
    <w:link w:val="1039"/>
    <w:uiPriority w:val="0"/>
    <w:qFormat/>
    <w:pPr>
      <w:ind w:firstLine="480"/>
      <w:spacing w:line="360" w:lineRule="auto"/>
    </w:pPr>
    <w:rPr>
      <w:rFonts w:ascii="宋体" w:hAnsi="宋体" w:eastAsia="宋体"/>
      <w:sz w:val="24"/>
      <w:szCs w:val="24"/>
    </w:rPr>
  </w:style>
  <w:style w:type="character" w:styleId="1041" w:customStyle="1">
    <w:name w:val="fontborder"/>
    <w:uiPriority w:val="0"/>
    <w:qFormat/>
  </w:style>
  <w:style w:type="character" w:styleId="1042" w:customStyle="1">
    <w:name w:val="bds_nopic"/>
    <w:uiPriority w:val="0"/>
    <w:qFormat/>
  </w:style>
  <w:style w:type="character" w:styleId="1043" w:customStyle="1">
    <w:name w:val="bds_nopic1"/>
    <w:uiPriority w:val="0"/>
    <w:qFormat/>
  </w:style>
  <w:style w:type="character" w:styleId="1044" w:customStyle="1">
    <w:name w:val="Plain Text Char Char"/>
    <w:link w:val="1045"/>
    <w:uiPriority w:val="0"/>
    <w:qFormat/>
    <w:rPr>
      <w:rFonts w:ascii="宋体" w:hAnsi="Courier New" w:eastAsia="楷体_GB2312"/>
      <w:sz w:val="26"/>
      <w:lang w:val="en-US" w:eastAsia="zh-CN" w:bidi="ar-SA"/>
    </w:rPr>
  </w:style>
  <w:style w:type="paragraph" w:styleId="1045" w:customStyle="1">
    <w:name w:val="纯文本2"/>
    <w:basedOn w:val="955"/>
    <w:link w:val="1044"/>
    <w:uiPriority w:val="0"/>
    <w:qFormat/>
    <w:rPr>
      <w:rFonts w:ascii="宋体" w:hAnsi="Courier New"/>
    </w:rPr>
  </w:style>
  <w:style w:type="character" w:styleId="1046" w:customStyle="1">
    <w:name w:val="bds_more2"/>
    <w:uiPriority w:val="0"/>
    <w:qFormat/>
  </w:style>
  <w:style w:type="character" w:styleId="1047" w:customStyle="1">
    <w:name w:val="font12"/>
    <w:uiPriority w:val="0"/>
    <w:qFormat/>
    <w:rPr>
      <w:rFonts w:hint="eastAsia" w:ascii="宋体" w:hAnsi="宋体" w:eastAsia="宋体" w:cs="宋体"/>
      <w:b/>
      <w:color w:val="000000"/>
      <w:sz w:val="20"/>
      <w:szCs w:val="20"/>
      <w:u w:val="none"/>
    </w:rPr>
  </w:style>
  <w:style w:type="character" w:styleId="1048" w:customStyle="1">
    <w:name w:val="font51"/>
    <w:uiPriority w:val="0"/>
    <w:qFormat/>
    <w:rPr>
      <w:rFonts w:hint="eastAsia" w:ascii="宋体" w:hAnsi="宋体" w:eastAsia="宋体" w:cs="宋体"/>
      <w:b/>
      <w:color w:val="000000"/>
      <w:sz w:val="24"/>
      <w:szCs w:val="24"/>
      <w:u w:val="none"/>
    </w:rPr>
  </w:style>
  <w:style w:type="character" w:styleId="1049" w:customStyle="1">
    <w:name w:val="font112"/>
    <w:uiPriority w:val="0"/>
    <w:qFormat/>
    <w:rPr>
      <w:rFonts w:hint="eastAsia" w:ascii="宋体" w:hAnsi="宋体" w:eastAsia="宋体" w:cs="宋体"/>
      <w:color w:val="000000"/>
      <w:sz w:val="20"/>
      <w:szCs w:val="20"/>
      <w:u w:val="none"/>
    </w:rPr>
  </w:style>
  <w:style w:type="character" w:styleId="1050" w:customStyle="1">
    <w:name w:val="正文首行缩进 2 Char1"/>
    <w:uiPriority w:val="0"/>
    <w:qFormat/>
  </w:style>
  <w:style w:type="character" w:styleId="1051" w:customStyle="1">
    <w:name w:val="font111"/>
    <w:uiPriority w:val="0"/>
    <w:qFormat/>
    <w:rPr>
      <w:rFonts w:hint="eastAsia" w:ascii="宋体" w:hAnsi="宋体" w:eastAsia="宋体" w:cs="宋体"/>
      <w:color w:val="000000"/>
      <w:sz w:val="20"/>
      <w:szCs w:val="20"/>
      <w:u w:val="none"/>
    </w:rPr>
  </w:style>
  <w:style w:type="paragraph" w:styleId="1052" w:customStyle="1">
    <w:name w:val="正文文本缩进1"/>
    <w:basedOn w:val="955"/>
    <w:next w:val="955"/>
    <w:uiPriority w:val="0"/>
    <w:qFormat/>
    <w:pPr>
      <w:ind w:firstLine="570"/>
    </w:pPr>
    <w:rPr>
      <w:rFonts w:ascii="宋体" w:eastAsia="宋体"/>
      <w:sz w:val="28"/>
    </w:rPr>
  </w:style>
  <w:style w:type="paragraph" w:styleId="1053" w:customStyle="1">
    <w:name w:val="p18"/>
    <w:basedOn w:val="955"/>
    <w:uiPriority w:val="0"/>
    <w:qFormat/>
    <w:pPr>
      <w:ind w:firstLine="420"/>
      <w:jc w:val="left"/>
      <w:widowControl/>
    </w:pPr>
    <w:rPr>
      <w:rFonts w:eastAsia="宋体"/>
      <w:sz w:val="24"/>
      <w:szCs w:val="24"/>
    </w:rPr>
  </w:style>
  <w:style w:type="paragraph" w:styleId="1054" w:customStyle="1">
    <w:name w:val="纯文本21"/>
    <w:basedOn w:val="955"/>
    <w:uiPriority w:val="0"/>
    <w:qFormat/>
    <w:rPr>
      <w:rFonts w:ascii="宋体" w:hAnsi="Courier New"/>
    </w:rPr>
  </w:style>
  <w:style w:type="paragraph" w:styleId="1055" w:customStyle="1">
    <w:name w:val="Andy_正文"/>
    <w:basedOn w:val="955"/>
    <w:next w:val="977"/>
    <w:uiPriority w:val="0"/>
    <w:qFormat/>
    <w:pPr>
      <w:ind w:firstLine="480"/>
      <w:spacing w:line="360" w:lineRule="auto"/>
    </w:pPr>
    <w:rPr>
      <w:rFonts w:ascii="Calibri"/>
      <w:sz w:val="24"/>
    </w:rPr>
  </w:style>
  <w:style w:type="paragraph" w:styleId="1056" w:customStyle="1">
    <w:name w:val="Char Char4"/>
    <w:basedOn w:val="955"/>
    <w:next w:val="955"/>
    <w:uiPriority w:val="0"/>
    <w:qFormat/>
    <w:pPr>
      <w:spacing w:line="360" w:lineRule="auto"/>
      <w:shd w:val="clear" w:color="auto" w:fill="000080"/>
    </w:pPr>
  </w:style>
  <w:style w:type="paragraph" w:styleId="1057" w:customStyle="1">
    <w:name w:val="TableOfAuthoring"/>
    <w:basedOn w:val="955"/>
    <w:next w:val="955"/>
    <w:uiPriority w:val="0"/>
    <w:qFormat/>
    <w:pPr>
      <w:ind w:left="420"/>
    </w:pPr>
    <w:rPr>
      <w:rFonts w:ascii="Calibri" w:hAnsi="Calibri"/>
      <w:szCs w:val="24"/>
    </w:rPr>
  </w:style>
  <w:style w:type="paragraph" w:styleId="1058" w:customStyle="1">
    <w:name w:val="正文缩进111"/>
    <w:basedOn w:val="955"/>
    <w:next w:val="955"/>
    <w:uiPriority w:val="0"/>
    <w:qFormat/>
    <w:pPr>
      <w:ind w:firstLine="420"/>
      <w:jc w:val="left"/>
    </w:pPr>
    <w:rPr>
      <w:sz w:val="24"/>
    </w:rPr>
  </w:style>
  <w:style w:type="paragraph" w:styleId="1059" w:customStyle="1">
    <w:name w:val="表格字体"/>
    <w:basedOn w:val="955"/>
    <w:uiPriority w:val="0"/>
    <w:qFormat/>
    <w:pPr>
      <w:spacing w:line="400" w:lineRule="exact"/>
      <w:widowControl/>
    </w:pPr>
    <w:rPr>
      <w:rFonts w:hint="eastAsia" w:cs="宋体"/>
      <w:bCs/>
      <w:color w:val="000000"/>
      <w:sz w:val="24"/>
      <w:szCs w:val="18"/>
    </w:rPr>
  </w:style>
  <w:style w:type="paragraph" w:styleId="1060"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1061" w:customStyle="1">
    <w:name w:val="Char"/>
    <w:basedOn w:val="955"/>
    <w:uiPriority w:val="0"/>
    <w:qFormat/>
    <w:rPr>
      <w:rFonts w:ascii="Tahoma" w:hAnsi="Tahoma" w:eastAsia="宋体"/>
      <w:sz w:val="24"/>
    </w:rPr>
  </w:style>
  <w:style w:type="paragraph" w:styleId="1062" w:customStyle="1">
    <w:name w:val="03 正文"/>
    <w:basedOn w:val="955"/>
    <w:uiPriority w:val="0"/>
    <w:qFormat/>
    <w:pPr>
      <w:ind w:firstLine="420"/>
      <w:spacing w:line="500" w:lineRule="atLeast"/>
      <w:widowControl/>
    </w:pPr>
    <w:rPr>
      <w:szCs w:val="22"/>
    </w:rPr>
  </w:style>
  <w:style w:type="paragraph" w:styleId="1063" w:customStyle="1">
    <w:name w:val="正文 A"/>
    <w:uiPriority w:val="0"/>
    <w:qFormat/>
    <w:pPr>
      <w:jc w:val="both"/>
      <w:widowControl w:val="off"/>
      <w:framePr w:wrap="around" w:vAnchor="margin" w:hAnchor="text" w:yAlign="top"/>
    </w:pPr>
    <w:rPr>
      <w:rFonts w:ascii="Times New Roman" w:hAnsi="Arial Unicode MS" w:eastAsia="Arial Unicode MS" w:cs="Arial Unicode MS"/>
      <w:color w:val="000000"/>
      <w:sz w:val="21"/>
      <w:szCs w:val="21"/>
      <w:lang w:val="en-US" w:eastAsia="zh-CN" w:bidi="ar-SA"/>
    </w:rPr>
  </w:style>
  <w:style w:type="paragraph" w:styleId="1064" w:customStyle="1">
    <w:name w:val="列出段落11"/>
    <w:basedOn w:val="955"/>
    <w:uiPriority w:val="34"/>
    <w:qFormat/>
    <w:pPr>
      <w:ind w:firstLine="420"/>
    </w:pPr>
    <w:rPr>
      <w:rFonts w:ascii="Calibri" w:hAnsi="Calibri" w:eastAsia="宋体"/>
    </w:rPr>
  </w:style>
  <w:style w:type="paragraph" w:styleId="1065" w:customStyle="1">
    <w:name w:val="Style1"/>
    <w:basedOn w:val="955"/>
    <w:uiPriority w:val="0"/>
    <w:qFormat/>
    <w:pPr>
      <w:tabs>
        <w:tab w:val="left" w:pos="-720" w:leader="none"/>
      </w:tabs>
    </w:pPr>
    <w:rPr>
      <w:spacing w:val="-3"/>
      <w:sz w:val="24"/>
      <w:szCs w:val="24"/>
      <w:lang w:val="en-AU" w:eastAsia="en-US"/>
    </w:rPr>
  </w:style>
  <w:style w:type="paragraph" w:styleId="1066">
    <w:name w:val="List Paragraph"/>
    <w:basedOn w:val="955"/>
    <w:next w:val="1067"/>
    <w:uiPriority w:val="0"/>
    <w:qFormat/>
    <w:pPr>
      <w:ind w:firstLine="420"/>
    </w:pPr>
  </w:style>
  <w:style w:type="paragraph" w:styleId="1067" w:customStyle="1">
    <w:name w:val="xl91"/>
    <w:basedOn w:val="956"/>
    <w:next w:val="1068"/>
    <w:uiPriority w:val="0"/>
    <w:qFormat/>
    <w:pPr>
      <w:ind w:firstLine="3584"/>
      <w:spacing w:before="280" w:after="280" w:line="240" w:lineRule="auto"/>
    </w:pPr>
  </w:style>
  <w:style w:type="paragraph" w:styleId="1068" w:customStyle="1">
    <w:name w:val="xl76"/>
    <w:basedOn w:val="956"/>
    <w:next w:val="987"/>
    <w:uiPriority w:val="0"/>
    <w:qFormat/>
    <w:pPr>
      <w:ind w:firstLine="3584"/>
      <w:jc w:val="center"/>
      <w:spacing w:before="280" w:after="280" w:line="240" w:lineRule="auto"/>
    </w:pPr>
  </w:style>
  <w:style w:type="paragraph" w:styleId="1069" w:customStyle="1">
    <w:name w:val="目录 21"/>
    <w:next w:val="955"/>
    <w:uiPriority w:val="0"/>
    <w:qFormat/>
    <w:pPr>
      <w:jc w:val="both"/>
    </w:pPr>
    <w:rPr>
      <w:rFonts w:ascii="Times New Roman" w:hAnsi="Times New Roman" w:eastAsia="宋体" w:cs="Times New Roman"/>
      <w:sz w:val="21"/>
      <w:lang w:val="en-US" w:eastAsia="zh-CN" w:bidi="ar-SA"/>
    </w:rPr>
  </w:style>
  <w:style w:type="paragraph" w:styleId="1070" w:customStyle="1">
    <w:name w:val="正文1"/>
    <w:basedOn w:val="955"/>
    <w:next w:val="955"/>
    <w:uiPriority w:val="0"/>
    <w:qFormat/>
    <w:pPr>
      <w:ind w:left="420" w:firstLine="527"/>
      <w:spacing w:before="120" w:line="360" w:lineRule="auto"/>
    </w:pPr>
    <w:rPr>
      <w:rFonts w:ascii="宋体" w:hAnsi="宋体"/>
    </w:rPr>
  </w:style>
  <w:style w:type="paragraph" w:styleId="1071" w:customStyle="1">
    <w:name w:val="_Style 11"/>
    <w:basedOn w:val="968"/>
    <w:next w:val="991"/>
    <w:uiPriority w:val="0"/>
    <w:unhideWhenUsed/>
    <w:qFormat/>
    <w:pPr>
      <w:ind w:firstLine="420"/>
      <w:spacing w:line="360" w:lineRule="exact"/>
    </w:pPr>
    <w:rPr>
      <w:rFonts w:ascii="Times New Roman"/>
    </w:rPr>
  </w:style>
  <w:style w:type="paragraph" w:styleId="1072" w:customStyle="1">
    <w:name w:val="正文首行缩进两字符"/>
    <w:basedOn w:val="955"/>
    <w:uiPriority w:val="0"/>
    <w:qFormat/>
    <w:pPr>
      <w:ind w:firstLine="200"/>
      <w:spacing w:line="360" w:lineRule="auto"/>
    </w:pPr>
    <w:rPr>
      <w:rFonts w:eastAsia="宋体"/>
      <w:sz w:val="21"/>
      <w:szCs w:val="24"/>
    </w:rPr>
  </w:style>
  <w:style w:type="paragraph" w:styleId="1073" w:customStyle="1">
    <w:name w:val="_Style 1"/>
    <w:basedOn w:val="955"/>
    <w:uiPriority w:val="34"/>
    <w:qFormat/>
    <w:pPr>
      <w:ind w:firstLine="420"/>
    </w:pPr>
  </w:style>
  <w:style w:type="paragraph" w:styleId="1074" w:customStyle="1">
    <w:name w:val="Plain Text1"/>
    <w:basedOn w:val="955"/>
    <w:uiPriority w:val="0"/>
    <w:qFormat/>
    <w:rPr>
      <w:rFonts w:hint="eastAsia" w:ascii="宋体" w:hAnsi="Courier New"/>
    </w:rPr>
  </w:style>
  <w:style w:type="paragraph" w:styleId="1075" w:customStyle="1">
    <w:name w:val="Default"/>
    <w:uiPriority w:val="99"/>
    <w:qFormat/>
    <w:pPr>
      <w:ind w:firstLine="5120"/>
      <w:widowControl w:val="off"/>
    </w:pPr>
    <w:rPr>
      <w:rFonts w:ascii="Calibri" w:hAnsi="Calibri" w:eastAsia="宋体" w:cs="宋体"/>
      <w:sz w:val="21"/>
      <w:szCs w:val="22"/>
      <w:lang w:val="en-US" w:eastAsia="zh-CN" w:bidi="ar-SA"/>
    </w:rPr>
  </w:style>
  <w:style w:type="paragraph" w:styleId="1076" w:customStyle="1">
    <w:name w:val="段"/>
    <w:next w:val="955"/>
    <w:uiPriority w:val="0"/>
    <w:qFormat/>
    <w:pPr>
      <w:ind w:firstLine="200"/>
      <w:jc w:val="both"/>
    </w:pPr>
    <w:rPr>
      <w:rFonts w:ascii="宋体" w:hAnsi="Times New Roman" w:eastAsia="宋体" w:cs="Times New Roman"/>
      <w:sz w:val="21"/>
      <w:lang w:val="en-US" w:eastAsia="zh-CN" w:bidi="ar-SA"/>
    </w:rPr>
  </w:style>
  <w:style w:type="paragraph" w:styleId="1077" w:customStyle="1">
    <w:name w:val="正文文本缩进11"/>
    <w:basedOn w:val="955"/>
    <w:next w:val="955"/>
    <w:uiPriority w:val="0"/>
    <w:qFormat/>
    <w:pPr>
      <w:ind w:firstLine="570"/>
    </w:pPr>
    <w:rPr>
      <w:rFonts w:ascii="宋体" w:eastAsia="宋体"/>
      <w:sz w:val="28"/>
    </w:rPr>
  </w:style>
  <w:style w:type="paragraph" w:styleId="1078" w:customStyle="1">
    <w:name w:val="font7"/>
    <w:basedOn w:val="955"/>
    <w:uiPriority w:val="0"/>
    <w:qFormat/>
    <w:pPr>
      <w:jc w:val="left"/>
      <w:spacing w:before="100" w:beforeAutospacing="1" w:after="100" w:afterAutospacing="1"/>
      <w:widowControl/>
    </w:pPr>
    <w:rPr>
      <w:rFonts w:eastAsia="宋体"/>
      <w:sz w:val="20"/>
    </w:rPr>
  </w:style>
  <w:style w:type="paragraph" w:styleId="1079" w:customStyle="1">
    <w:name w:val="_Style 27"/>
    <w:basedOn w:val="955"/>
    <w:next w:val="1066"/>
    <w:uiPriority w:val="34"/>
    <w:qFormat/>
    <w:pPr>
      <w:ind w:firstLine="420"/>
    </w:pPr>
    <w:rPr>
      <w:szCs w:val="22"/>
    </w:rPr>
  </w:style>
  <w:style w:type="paragraph" w:styleId="1080" w:customStyle="1">
    <w:name w:val="p0"/>
    <w:basedOn w:val="955"/>
    <w:uiPriority w:val="0"/>
    <w:qFormat/>
    <w:pPr>
      <w:jc w:val="left"/>
      <w:widowControl/>
    </w:pPr>
    <w:rPr>
      <w:rFonts w:eastAsia="宋体"/>
      <w:sz w:val="24"/>
      <w:szCs w:val="24"/>
    </w:rPr>
  </w:style>
  <w:style w:type="character" w:styleId="1081" w:customStyle="1">
    <w:name w:val="15"/>
    <w:uiPriority w:val="0"/>
    <w:qFormat/>
    <w:rPr>
      <w:rFonts w:hint="default" w:ascii="Times New Roman" w:hAnsi="Times New Roman" w:cs="Times New Roman"/>
      <w:b/>
    </w:rPr>
  </w:style>
  <w:style w:type="paragraph" w:styleId="1082" w:customStyle="1">
    <w:name w:val="列出段落3"/>
    <w:basedOn w:val="955"/>
    <w:next w:val="1083"/>
    <w:uiPriority w:val="34"/>
    <w:qFormat/>
    <w:pPr>
      <w:ind w:firstLine="420"/>
    </w:pPr>
  </w:style>
  <w:style w:type="paragraph" w:styleId="1083" w:customStyle="1">
    <w:name w:val="索引 11"/>
    <w:basedOn w:val="955"/>
    <w:next w:val="955"/>
    <w:uiPriority w:val="0"/>
    <w:qFormat/>
  </w:style>
  <w:style w:type="paragraph" w:styleId="1084" w:customStyle="1">
    <w:name w:val="TableOfAuthoring1"/>
    <w:basedOn w:val="955"/>
    <w:next w:val="955"/>
    <w:uiPriority w:val="0"/>
    <w:qFormat/>
    <w:pPr>
      <w:ind w:left="420"/>
    </w:pPr>
    <w:rPr>
      <w:rFonts w:ascii="Calibri" w:hAnsi="Calibri"/>
      <w:szCs w:val="24"/>
    </w:rPr>
  </w:style>
  <w:style w:type="numbering" w:styleId="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C596526-FE97-4964-BEE6-0D1F2CCA4AE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wei</dc:creator>
  <cp:lastModifiedBy>周蕾</cp:lastModifiedBy>
  <cp:revision>5</cp:revision>
  <dcterms:created xsi:type="dcterms:W3CDTF">2025-09-01T03:15:00Z</dcterms:created>
  <dcterms:modified xsi:type="dcterms:W3CDTF">2025-11-11T06:59:47Z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E8623A0832834486AFCC5B8EBC1028D6_13</vt:lpwstr>
  </property>
  <property fmtid="{D5CDD505-2E9C-101B-9397-08002B2CF9AE}" pid="4" name="KSOTemplateDocerSaveRecord">
    <vt:lpwstr>eyJoZGlkIjoiZDA5YWNjOWMwOTA2ZDA2N2ZhMzM0NzFhNGZhYWUxMGMiLCJ1c2VySWQiOiIzNjU4Mjk4NzQifQ==</vt:lpwstr>
  </property>
</Properties>
</file>